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rPr>
          <w:rFonts w:ascii="黑体" w:eastAsia="黑体" w:hint="eastAsia"/>
          <w:sz w:val="32"/>
          <w:szCs w:val="32"/>
          <w:shd w:val="clear" w:color="auto" w:fill="FFFFFF"/>
        </w:rPr>
      </w:pPr>
      <w:r>
        <w:rPr>
          <w:rFonts w:ascii="黑体" w:eastAsia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/>
          <w:sz w:val="32"/>
          <w:szCs w:val="32"/>
          <w:shd w:val="clear" w:color="auto" w:fill="FFFFFF"/>
        </w:rPr>
        <w:t>5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ascii="方正小标宋简体" w:eastAsia="方正小标宋简体" w:cs="方正小标宋简体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</w:rPr>
        <w:t>笔试疫情防控注意事项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auto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根据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疫情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有关规定，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参加考试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人员须加强防疫知识学习，主动接种新冠病毒疫苗，考前主动减少外出、不必要的聚集和人员接触，确保考试时身体状况良好。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前14天每日自觉进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行体温测量、记录及健康状况监测，如实填写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《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  <w:highlight w:val="auto"/>
        </w:rPr>
        <w:t>考试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人员健康管理信息承诺书》(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  <w:highlight w:val="auto"/>
        </w:rPr>
        <w:t>附后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)。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  <w:highlight w:val="auto"/>
        </w:rPr>
        <w:t>考试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时，凭本人有效居民身份证、</w:t>
      </w:r>
      <w:r>
        <w:rPr>
          <w:rFonts w:ascii="仿宋_GB2312" w:eastAsia="仿宋_GB2312" w:cs="仿宋_GB2312" w:hint="eastAsia"/>
          <w:b w:val="0"/>
          <w:bCs w:val="0"/>
          <w:sz w:val="32"/>
          <w:szCs w:val="32"/>
          <w:highlight w:val="auto"/>
        </w:rPr>
        <w:t>笔试准考证</w:t>
      </w:r>
      <w:r>
        <w:rPr>
          <w:rFonts w:ascii="仿宋_GB2312" w:eastAsia="仿宋_GB2312" w:cs="仿宋_GB2312" w:hint="eastAsia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(纸质版)、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山东省电子健康通行码绿码、通信大数据行程卡绿卡、本人签字的《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  <w:highlight w:val="auto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人员健康管理信息承诺书》和考前48小时内(依采样时间计算)新冠病毒核酸检测阴性证明(纸质版)，方可进入考点参加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  <w:highlight w:val="auto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highlight w:val="auto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持非绿码的考生应主动向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申报，告知旅居史、接触史和就诊史，评估后确定考试安排。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属于以下特殊情形的，须主动向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申报，采取必要的隔离防护和健康监测措施：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ascii="仿宋_GB2312" w:eastAsia="仿宋_GB2312" w:cs="仿宋_GB2312" w:hint="eastAsia"/>
          <w:sz w:val="32"/>
          <w:szCs w:val="32"/>
        </w:rPr>
        <w:t>备用隔离考场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2.考前14天内从外省入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参加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的考生，须提供启程前48小时内核酸检测阴性证明和入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后考前48小时内的核酸检测阴性证明。从发生本土疫情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区县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入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的，在</w:t>
      </w:r>
      <w:r>
        <w:rPr>
          <w:rFonts w:ascii="仿宋_GB2312" w:eastAsia="仿宋_GB2312" w:cs="仿宋_GB2312" w:hint="eastAsia"/>
          <w:sz w:val="32"/>
          <w:szCs w:val="32"/>
        </w:rPr>
        <w:t>备用隔离考场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.考前14天有发热(≥37.3℃)、咳嗽、腹泻等症状的，须提供医疗机构出具的诊断证明和考前48小时内的核酸检测阴性证明，并在</w:t>
      </w:r>
      <w:r>
        <w:rPr>
          <w:rFonts w:ascii="仿宋_GB2312" w:eastAsia="仿宋_GB2312" w:cs="仿宋_GB2312" w:hint="eastAsia"/>
          <w:sz w:val="32"/>
          <w:szCs w:val="32"/>
        </w:rPr>
        <w:t>备用隔离考场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ascii="仿宋_GB2312" w:eastAsia="仿宋_GB2312" w:cs="仿宋_GB2312" w:hint="eastAsia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有中、高风险地区所在县(市、区、旗)旅居史且离开上述地区不满</w:t>
      </w:r>
      <w:r>
        <w:rPr>
          <w:rFonts w:ascii="仿宋_GB2312" w:eastAsia="仿宋_GB2312" w:cs="仿宋_GB2312" w:hint="eastAsia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ascii="仿宋_GB2312" w:eastAsia="仿宋_GB2312" w:cs="仿宋_GB2312" w:hint="eastAsia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天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者;⑤有境外旅居史且入境未满28天者。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五、考试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当天，若考生入场或考试期间出现咳嗽、呼吸困难、腹泻、发热等症状，经专业评估和综合研判，能继续参加考试的，安排在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备用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隔离考场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请考生备齐个人防护用品，严格做好个人防护，保持手卫生。合理安排交通和食宿，注意饮食卫生。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请考生认真阅读疫情防控注意事项，特别是外省来济人员，要提前了解并严格执行我省疫情防控有关规定和要求（咨询电话0531-12345、0531-8</w:t>
      </w:r>
      <w:r>
        <w:rPr>
          <w:rFonts w:ascii="黑体" w:eastAsia="黑体" w:cs="黑体" w:hint="eastAsia"/>
          <w:color w:val="000000"/>
          <w:sz w:val="32"/>
          <w:szCs w:val="32"/>
          <w:lang w:val="en-US" w:eastAsia="zh-CN"/>
        </w:rPr>
        <w:t>7</w:t>
      </w:r>
      <w:r>
        <w:rPr>
          <w:rFonts w:ascii="黑体" w:eastAsia="黑体" w:cs="黑体" w:hint="eastAsia"/>
          <w:color w:val="000000"/>
          <w:sz w:val="32"/>
          <w:szCs w:val="32"/>
        </w:rPr>
        <w:t>2</w:t>
      </w:r>
      <w:r>
        <w:rPr>
          <w:rFonts w:ascii="黑体" w:eastAsia="黑体" w:cs="黑体" w:hint="eastAsia"/>
          <w:color w:val="000000"/>
          <w:sz w:val="32"/>
          <w:szCs w:val="32"/>
          <w:lang w:val="en-US" w:eastAsia="zh-CN"/>
        </w:rPr>
        <w:t>31112、0531-87223639</w:t>
      </w:r>
      <w:r>
        <w:rPr>
          <w:rFonts w:ascii="黑体" w:eastAsia="黑体" w:cs="黑体" w:hint="eastAsia"/>
          <w:color w:val="000000"/>
          <w:sz w:val="32"/>
          <w:szCs w:val="32"/>
        </w:rPr>
        <w:t>）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ascii="仿宋_GB2312" w:eastAsia="仿宋_GB2312" w:cs="仿宋_GB2312" w:hint="eastAsia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如疫情防控形势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及相关政策发生调整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，将视情调整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安排，届时将另行发布公告。请广大报考人员理解、支持和配合。</w:t>
      </w:r>
    </w:p>
    <w:p>
      <w:pP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  <w:lang w:eastAsia="zh-CN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人员健康管理信息承诺书</w:t>
      </w:r>
    </w:p>
    <w:tbl>
      <w:tblPr>
        <w:jc w:val="left"/>
        <w:tblInd w:w="-289" w:type="dxa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rPr>
          <w:trHeight w:val="40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方正小标宋简体" w:hAnsi="Times New Roman"/>
                <w:szCs w:val="21"/>
              </w:rPr>
              <mc:AlternateContent>
                <mc:Choice Requires="wps">
                  <w:drawing>
                    <wp:anchor distT="0" distB="0" distL="114298" distR="114298" simplePos="0" relativeHeight="12" behindDoc="0" locked="0" layoutInCell="1" hidden="0" allowOverlap="1">
                      <wp:simplePos x="0" y="0"/>
                      <wp:positionH relativeFrom="column">
                        <wp:posOffset>-24129</wp:posOffset>
                      </wp:positionH>
                      <wp:positionV relativeFrom="paragraph">
                        <wp:posOffset>19684</wp:posOffset>
                      </wp:positionV>
                      <wp:extent cx="657225" cy="1209674"/>
                      <wp:effectExtent l="0" t="0" r="0" b="0"/>
                      <wp:wrapNone/>
                      <wp:docPr id="1" name="直接箭头连接符 1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836295" y="1484630"/>
                                <a:ext cx="657225" cy="1209674"/>
                              </a:xfrm>
                              <a:prstGeom prst="straightConnector1"/>
                              <a:noFill/>
                              <a:ln w="3175" cmpd="sng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32" id="直接箭头连接符 1 2" o:spid="_x0000_s2" filled="f" stroked="t" strokeweight="0.25pt" style="position:absolute;margin-left:-1.8999993pt;margin-top:1.5499985pt;width:51.750004pt;height:95.24999pt;z-index:12;mso-position-horizontal:absolute;mso-position-vertical:absolute;mso-wrap-distance-left:8.999863pt;mso-wrap-distance-right:8.999863pt;">
                      <v:stroke color="#000000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 名</w:t>
            </w:r>
          </w:p>
        </w:tc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>
        <w:trPr>
          <w:trHeight w:val="15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  <w:lang w:val="en-US" w:eastAsia="zh-CN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eastAsia="黑体" w:hint="eastAsia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eastAsia="黑体" w:hint="eastAsia"/>
                <w:szCs w:val="21"/>
              </w:rPr>
              <w:t>确诊病例</w:t>
            </w: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eastAsia="黑体" w:hint="eastAsia"/>
                <w:szCs w:val="21"/>
              </w:rPr>
              <w:t>无症状感染者</w:t>
            </w: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eastAsia="黑体" w:hint="eastAsia"/>
                <w:szCs w:val="21"/>
              </w:rPr>
              <w:t>密切接触者</w:t>
            </w:r>
            <w:r>
              <w:rPr>
                <w:rFonts w:ascii="宋体" w:cs="宋体" w:hint="eastAsia"/>
                <w:szCs w:val="21"/>
              </w:rPr>
              <w:t>④</w:t>
            </w:r>
            <w:r>
              <w:rPr>
                <w:rFonts w:eastAsia="黑体" w:hint="eastAsia"/>
                <w:szCs w:val="21"/>
              </w:rPr>
              <w:t>次密切接触者</w:t>
            </w:r>
            <w:r>
              <w:rPr>
                <w:rFonts w:ascii="仿宋" w:eastAsia="仿宋" w:cs="仿宋" w:hint="eastAsia"/>
                <w:szCs w:val="21"/>
              </w:rPr>
              <w:t>⑤“</w:t>
            </w:r>
            <w:r>
              <w:rPr>
                <w:rFonts w:ascii="黑体" w:eastAsia="黑体" w:cs="黑体" w:hint="eastAsia"/>
                <w:szCs w:val="21"/>
              </w:rPr>
              <w:t>同时空</w:t>
            </w:r>
            <w:r>
              <w:rPr>
                <w:rFonts w:ascii="仿宋" w:eastAsia="仿宋" w:cs="仿宋" w:hint="eastAsia"/>
                <w:szCs w:val="21"/>
              </w:rPr>
              <w:t>”</w:t>
            </w:r>
            <w:r>
              <w:rPr>
                <w:rFonts w:ascii="黑体" w:eastAsia="黑体" w:cs="黑体" w:hint="eastAsia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eastAsia="黑体" w:hint="eastAsia"/>
                <w:szCs w:val="21"/>
              </w:rPr>
              <w:t>以上都不是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>
        <w:trPr>
          <w:trHeight w:val="41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0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健康监测（自考前14天起）</w:t>
            </w:r>
          </w:p>
        </w:tc>
      </w:tr>
      <w:tr>
        <w:trPr>
          <w:trHeight w:val="12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  <w:lang w:eastAsia="zh-CN"/>
              </w:rPr>
              <w:t>考试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eastAsia="楷体" w:hAnsi="Times New Roman"/>
          <w:sz w:val="28"/>
          <w:szCs w:val="28"/>
        </w:rPr>
        <w:t xml:space="preserve">签字：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               联系电话：</w:t>
      </w:r>
    </w:p>
    <w:p>
      <w:pP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pStyle w:val="16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  <w:t>关于山东省电子健康通行码申领使用、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  <w:t>查询疫情风险等级等有关问题的说明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int="eastAsia"/>
          <w:sz w:val="32"/>
          <w:szCs w:val="32"/>
        </w:rPr>
      </w:pP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一、如何申请办理和使用山东省电子健康通行码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二、中、高风险等疫情重点地区流入人员管理有关规定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三、如何查询所在地区的疫情风险等级</w:t>
      </w:r>
    </w:p>
    <w:p>
      <w:pPr>
        <w:pStyle w:val="1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int="eastAsia"/>
          <w:sz w:val="32"/>
          <w:szCs w:val="32"/>
          <w:lang w:eastAsia="zh-CN"/>
        </w:rPr>
        <w:sectPr>
          <w:pgSz w:w="11906" w:h="16838"/>
          <w:pgMar w:top="1361" w:right="1474" w:bottom="1247" w:left="1531" w:header="851" w:footer="992" w:gutter="0"/>
          <w:pgNumType w:fmt="numberInDash"/>
          <w:docGrid w:type="lines" w:linePitch="312" w:charSpace="0"/>
        </w:sectPr>
      </w:pPr>
      <w:r>
        <w:rPr>
          <w:rFonts w:ascii="仿宋_GB2312" w:eastAsia="仿宋_GB2312" w:hint="eastAsia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ascii="仿宋_GB2312" w:eastAsia="仿宋_GB2312" w:hint="eastAsia"/>
          <w:sz w:val="32"/>
          <w:szCs w:val="32"/>
          <w:lang w:eastAsia="zh-CN"/>
        </w:rPr>
        <w:t>等级。</w:t>
      </w:r>
    </w:p>
    <w:p>
      <w:pPr>
        <w:pStyle w:val="1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</w:p>
    <w:p>
      <w:pPr>
        <w:spacing w:line="500" w:lineRule="exact"/>
        <w:rPr>
          <w:rFonts w:ascii="仿宋_GB2312" w:eastAsia="仿宋_GB2312" w:cs="仿宋_GB2312" w:hint="eastAsia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327" w:right="1576" w:bottom="1270" w:left="1576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2VlOGM3Yzk5ZjI4NmI0Mzc3Yjg1MjVkM2E4N2FiMj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Normal (Web)"/>
    <w:qFormat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character" w:styleId="17">
    <w:name w:val="Strong"/>
    <w:qFormat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Yozo_Office27021597764231180</Application>
  <Pages>6</Pages>
  <Words>0</Words>
  <Characters>1922</Characters>
  <Lines>0</Lines>
  <Paragraphs>37</Paragraphs>
  <CharactersWithSpaces>2563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张军</dc:creator>
  <cp:lastModifiedBy>lenovo</cp:lastModifiedBy>
  <cp:revision>1</cp:revision>
  <dcterms:created xsi:type="dcterms:W3CDTF">2022-03-22T19:25:00Z</dcterms:created>
  <dcterms:modified xsi:type="dcterms:W3CDTF">2022-06-11T01:17:47Z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2052-11.1.0.11744</vt:lpwstr>
  </property>
  <property fmtid="{D5CDD505-2E9C-101B-9397-08002B2CF9AE}" pid="3" name="ICV">
    <vt:lpwstr>8D6A9501C01346449BCD4F956018670E</vt:lpwstr>
  </property>
</Properties>
</file>