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十堰市事业单位第二批公开招聘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为规范我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市事业单位公开招聘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的情况说明：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（三）设置具体专业的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  <w:sz w:val="30"/>
          <w:szCs w:val="30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汉语言文学，汉语言，对外汉语，语言学，编辑 学，汉语言文学教育，古典文献学，中国语言文化，中国语言文学，中文应用，华文教育，应用 语言学，古典文献，文学，中国文学，汉语言文学与文化传播，秘书学，文秘，文耕学，中文秘书教育，现代秘书，经济秘书，中国学，医学文秘，涉外秘节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传播学类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新闻学，传播学，新闻与传播，出版，编辑出版学，媒体与文化分析专业，广告学等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新闻学，广播电视新闻学，编辑出版学，传播学, 国际新闻，体育新闻，新闻，广播电视学，广告学等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pacing w:val="-6"/>
                <w:kern w:val="0"/>
                <w:sz w:val="21"/>
                <w:szCs w:val="21"/>
              </w:rPr>
              <w:t>新闻采编与制作，电视节目制作，电视制片管理，新闻与传播，新闻学与大众传播，信息传播与策划，传媒策划与管理，新闻，新闻学，新闻与文秘，广告学</w:t>
            </w:r>
            <w:r>
              <w:rPr>
                <w:rFonts w:hint="eastAsia" w:eastAsia="仿宋_GB2312"/>
                <w:spacing w:val="-6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 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财务管理，审计，审计学，会计，会计学，审计 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法学，法律，比较法学，民事诉讼法学，宪法学与行政法学，中国刑法学，国际法，经济刑法学，犯罪学，民法学，刑事诉讼法学, 行政诉讼法学，法学理论，法理学，法律史，刑法学，民商法学, 诉讼法学，经济法学，环境与资 源保护法学，国际法学，国际公法，国际私法，国际经济法，法律硕士，军事法学，航空法与空问法，国际人权法，国际环境法, 国际民事诉讼与仲裁，WTO法律 制度，中国司法制度，比较司法 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法学，知识产权，监狱学，知识产权法，诉讼法, 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，国际法，刑事司法，律师，涉外法律，经济法律事务，法律事务，大法学，经济法学，涉外法律事务等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物理电子学，电路与系统，微电子学与固体电子学，电磁场与微波技术，通信与信息系统，信号与信息处理，电子与通信工程，无线电物流，电子科学与技术等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电子信息工程，电子科学与技术，通信工程，计算机通信工程，微电子科学与工程，光电信息科学与工程，信息工程，广播电视工程，水声工程, 电子封装技术，集成电路设计与集成系统，医学信息工程，电磁场与无线技术，电波传播与天线, 电子信息科学与技术，其空电子技术，应用电子技术教育，电信工程及管理，信息与通信工程，微电子学，微电子制造工程，微电子材料与器件, 光信息科学与技术，光电子技术科学，信息显示与光电技术，光电信息工程，光电子材料与器件, 信息科学技术，信息物理工程等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行政管理，公共政策学，公共管理硕士专业，人力资源管理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社会医学与卫生事业管理，教育经济与管理，劳动与社会保障，社会保障，土地资源管理，土地管理，社会保障学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企业管理，技术经济及管理，国际商务，市场营销管理，工商管理硕士专业， 管理硕士专业，管理专业硕士， 农业经济管理，林业经济管理， 农业推广硕士专业（农村与区域 发展），管理科学与工程，项目管理等工程硕士专业，营运与供 应链管理，工程管理硕士专业， 物流工程等工程硕士专业，工业工程，工业设计工程等工程硕士专业，旅游管理，旅游管理硕士专业等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行政管理，行政管理学，公共事业管理，公共关 系学，公共关系，高等教育管理，公共政策学，公共管理，人力资源管理、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, 卫生信息管理，公共卫生管理，医院管理，卫生管理，信息与技术经济管理，交通管理，房地产经营管理，房地产开发与管理，保密管理、工商管理，经营学，市场营销，商品学，特许经营管理, 连锁经营管理，企业管理，国际企业管理，海关管理，商业经济管理，工商企业管理，工商行政管理，理财学，物业管理，食品经济管理，市场营销教育，经济与行政管理，商务策划管理，商务管理，国际商务，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电子商务，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文化产业管理，体育经济与管理，体育经济，农林经济管理，农村区域发展, 农业经营管理教育，管理科学，信息管理与信息系统，工程管理，工程造价，工程造价管理，产品质量工程，项目管理，管理科学工程，管理科学与工程，控制科学与工程，信息管理工程，物流管理，物流工程，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电子商务，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采购管理，工业工程，标准化工程，质量管理工程，总图设计与工业运输，产 品质量工程，旅游管理，旅游管理与服务教育， 酒店管理，会展经济与管理等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公共事务管理，行政管理，市政管理，乡镇管理， 机关管理及办公自动化，土地管理，城市管理与监 察，公共关系，人力资源管理、民政管理，劳动与 社会保障，国土资源管理，海关管理，环境规划与 管理，社会救助，国际质量管理体系认证，卫生监督，卫生信息管理，卫生事业管理，公共安全管理， 公共卫生管理，文化事业管理，文化市场经营与管 理，房地产经营与估价、工商企业管理，企业管理， 工商行政管理，工商管理，商务管理，连锁经营管理，企业资源计划管理，招商管理，采购供应管理， 项目管理，市场营销，国际市场营销，家具与市场营销，市场开发与营销，营销与策划，医药营销， 商业企业管理，商业经济管理，国际商务，物业管 理，药品经营与管理，商检技术，商品质量与检测技术，农业经济管理，农村行政管理，乡镇企业管 理，林业经济信息管理，渔业资源与渔政管理，农业技术与管理，林业信息工程与管理，都市林业资 源与林政管理，农村行政与经济管理，工程造价管理，物流管理，国际物流，现代物流管理，物流信息，物流工程技术，旅游管理，涉外旅游，导游， 旅行社经营管理，景区开发与管理，酒店管理，宾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eastAsia="zh-CN"/>
              </w:rPr>
              <w:t>馆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管理，餐饮管理与服务，烹饪工艺与营养，餐饮管理，导游服务，旅游与酒店管理，会展策划与管理，历史文化旅游，旅游服务与管理，休闲服务与 管理，现代酒店管理，饭店管理，旅游乡村经济， 旅游饭店管理，旅游规划策划，旅游景区管理，旅 游市场营销，旅游项目投融资管理，旅游温泉经济， 游艇游轮经济，旅游自驾车经济，生态旅游与管理等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 技术，计算机网络工程，计算机网络技术工程，网络技术，网络工程，计算机数据庫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val="en-US" w:eastAsia="zh-CN" w:bidi="ar-SA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 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 库管理，航空计算机技术与应用，软件开发与项目管理, 软件测试技术，嵌入式技术与应用，计算机科学与技术, 计算机与通信，经济计算机管理，经济信息管理与计算机应用，国际金融计算机管理，计算机软件及应用，计算机软件，计算机电子工程，计算机及应用，计算机经 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土木工程，建筑环境与设备工程，建筑环境与能 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, 城市燃气工程，工业与民用建筑，建筑工程教育，建筑节能技术与工程，建筑工程管理，给排水与釆暖通风工程等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pacing w:val="-4"/>
                <w:kern w:val="0"/>
                <w:sz w:val="21"/>
                <w:szCs w:val="21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  <w:r>
              <w:rPr>
                <w:rFonts w:hint="eastAsia" w:eastAsia="仿宋_GB2312"/>
                <w:spacing w:val="-4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城镇建设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护理学，护理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、护理、社区护理学等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化工与制药类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化学工程，化学工程领域，化学工艺，生物化工，应用化学，工业催化，制药工程，化学工程与技术，环境技术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化学工程与工艺，制药工程，油气加工工程，化工与制药，化学工程与工业生物工程，资源循环科学与工程，资源科学与工程，能源化学工程，化学工程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，化工管理，化工工艺，高分子化工，精细化工，生物化工，工业分析，电化学工程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，工业催化，化学制药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，油气储运工程，再生资源科学与技术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5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，烟花爆竹安全与质量技术，生化制药技术，生物制药技术，化学制药技术，化工分析与监测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矿业类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采矿工程，矿物加工工程，安全技术及工程，油气井工程，油气田开发工，油气储运工程，矿业工程，石油与天然气工程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安全科学与工程，安全工程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安全工程，安全科学与工程，雷电防护科学与技术，灾害防治工程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救援技术，安全技术管理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机械制造及自动化，机械电子工程，机械设计及理论，车辆工程，机械工程，高级制造技术等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矿产普查与勘探，地球探测与信息技术，地质工程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地质工程，勘查技术与工程，资源勘查工程，地下水科学与工程，煤及煤层气工程，能源与资源工程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地质学类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矿物学、岩石学、矿床学，地球化学，古生物学及地层学，构造地质学，第四纪地质学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地质学，构造地质学，古生物学及地层学，地球化学，地球信息科学与技术，古生物学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水利类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水文学与水资源，水力学及河流动力学，水工结构工程，水利水电工程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，港口、海岸及近海工程，水利工程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pacing w:val="-6"/>
                <w:kern w:val="0"/>
                <w:sz w:val="21"/>
                <w:szCs w:val="21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  <w:r>
              <w:rPr>
                <w:rFonts w:hint="eastAsia" w:eastAsia="仿宋_GB2312"/>
                <w:spacing w:val="-6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材料类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材料物理与化学，材料学，材料加工工程，生态建筑材料，严寒地区混凝土高性能化、高功能化, 功能材料加工制备及性能研究，冶金物理化学，钢铁冶金，有色金属冶金，冶金能源工程，材料工程等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材料物理，钢铁冶金，有色金属冶金，冶金物理 化学，金属材料与热处理，金属压力加工，无机非金属材料，硅酸盐工程，高分子材料与工程，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功能材料，纳米材料与技术，新能源材料与器件，稀土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金属材料与热处理技术，冶金技术，高分子材料应用技术，复合材料加工与应用技术，材料工程技术，建筑装饰材料及检测，无机非金属材料工程技术，磨料 磨具制造，首饰设计与工艺等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公共卫生与预防医学类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流行病与卫生统计学，劳动卫生 与环境卫生学，营养与食品卫生学，儿少卫生与妇幼保健学，卫生毒理学，军事预防医学，公共卫生等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预防医学，卫生检验与检疫，妇幼保健医学，营养与食品卫生，卫生检验，营养学，食品营养与检验教育，食品卫生与营养学，营弄、食品与健康，卫生监督，全球健康学等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医学营养，卫生检验与检疫技术等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临床医学类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内科学，儿科学，老年医学，神经病学，精神病与精神卫生学，皮肤病与性病学，影像医学与核医学，临床检验诊断学，外科学, 妇产科学，眼科学，耳鼻咽喉科学，肿瘤学，康复医学与理疗学, 运动医学，麻醉学，急诊医学，移植科学与工程学等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临床医学，麻醉学，放射医学，精神医学，精神病学与精神卫生，儿科医学，医学影像学，眼视光医学等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临床医学，麻醉学，社区医疗等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公安学类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治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安学，侦查学，边防管理，火灾勘察，禁毒学， 警犬技术，经济犯罪侦查，边防指挥，消防指挥， 警卫学，公安情报学，犯罪学，公安管理学，犯罪 心理学，涉外警务，侦察学，刑事侦查，刑事侦察, 技术侦查，经济侦查，警务指挥与战术，边防信息 网络安全监察，公安信息技术，边防公安.出入境管理，消防管理，消防管理指挥，公安保卫，公安安全保卫，安全保卫，国内安全保卫，公安学，公安管理，警察管理，预审，治安管理，公安文秘，公安法制，警卫，网络监察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侦查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，经济犯罪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侦查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，安全保卫，警卫，治安管理，交通管理，警察管理，信息网络与安全监察，网络监察，边防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检查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，警察指挥与战术，边防指挥，边防船艇指挥，边防通信指挥，消防指挥，参谋业务，抢险救援，边境管理，禁毒，防火管理，森林消防等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公安技术类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刑事技术，刑事科学技术，警犬技术，船艇动力管理，边防机要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司法执行及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技术类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物证技术学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狱政管理，刑事执行，劳教管理，罪犯教育，罪犯心理矫治，监所管理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电机与电器，电力系统及其自动化，高电压与绝缘技术，电力电子与电力传动，电工理论与新技术，电气工程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电气技术，电气工程及其自动化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动物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兽医学，基础兽医学，预防兽医学，临床兽医学，兽医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动物医学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动物药学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动植物检疫，畜牧兽医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基础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人体解剖与组织胚胎学，免疫学，病原生物学，病理学与病理生理学，放射医学，航空、航天和航海医学，生物医学工程，医学生理学与时间生物学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基础医学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化学，应用化学，化学生物学，分子科学与工程，化学教育，放射化学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GMwNzQyYmNhOWY4ZDdkMjBiZmNmN2ZkNjE0ZDIifQ=="/>
  </w:docVars>
  <w:rsids>
    <w:rsidRoot w:val="113049AB"/>
    <w:rsid w:val="004C2FEC"/>
    <w:rsid w:val="01412FC7"/>
    <w:rsid w:val="01DB7335"/>
    <w:rsid w:val="021E77E3"/>
    <w:rsid w:val="027A5940"/>
    <w:rsid w:val="029A7B34"/>
    <w:rsid w:val="02BD7D85"/>
    <w:rsid w:val="02FE3DC3"/>
    <w:rsid w:val="03116B61"/>
    <w:rsid w:val="03662EE9"/>
    <w:rsid w:val="036E48FB"/>
    <w:rsid w:val="03946451"/>
    <w:rsid w:val="04090391"/>
    <w:rsid w:val="04332110"/>
    <w:rsid w:val="04A04C78"/>
    <w:rsid w:val="053974B3"/>
    <w:rsid w:val="061068F3"/>
    <w:rsid w:val="066E4759"/>
    <w:rsid w:val="067F684F"/>
    <w:rsid w:val="06ED4300"/>
    <w:rsid w:val="074331C3"/>
    <w:rsid w:val="076B02DA"/>
    <w:rsid w:val="07EA6C8D"/>
    <w:rsid w:val="08681984"/>
    <w:rsid w:val="087F0514"/>
    <w:rsid w:val="089A3D4F"/>
    <w:rsid w:val="08A35FF1"/>
    <w:rsid w:val="08BA10F5"/>
    <w:rsid w:val="08BE022C"/>
    <w:rsid w:val="0B2D2400"/>
    <w:rsid w:val="0B5D2A00"/>
    <w:rsid w:val="0C5B1578"/>
    <w:rsid w:val="0EAB40F5"/>
    <w:rsid w:val="0EB91DD5"/>
    <w:rsid w:val="0EDB5275"/>
    <w:rsid w:val="0F0C5506"/>
    <w:rsid w:val="0F194831"/>
    <w:rsid w:val="0F45452E"/>
    <w:rsid w:val="0FC10216"/>
    <w:rsid w:val="10354733"/>
    <w:rsid w:val="10845994"/>
    <w:rsid w:val="1109505B"/>
    <w:rsid w:val="11246E7E"/>
    <w:rsid w:val="113049AB"/>
    <w:rsid w:val="119F34BD"/>
    <w:rsid w:val="120E4F89"/>
    <w:rsid w:val="12947AB2"/>
    <w:rsid w:val="12B00BB4"/>
    <w:rsid w:val="13F07D65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651535"/>
    <w:rsid w:val="19BA58E9"/>
    <w:rsid w:val="19D06CE5"/>
    <w:rsid w:val="19F17A53"/>
    <w:rsid w:val="19F5449D"/>
    <w:rsid w:val="1A306BBF"/>
    <w:rsid w:val="1C2C33AF"/>
    <w:rsid w:val="1CFB6D8F"/>
    <w:rsid w:val="1D4C3BF9"/>
    <w:rsid w:val="1DC04383"/>
    <w:rsid w:val="1DFC5EC2"/>
    <w:rsid w:val="1E2843DB"/>
    <w:rsid w:val="1E642BE6"/>
    <w:rsid w:val="1EE239F7"/>
    <w:rsid w:val="2000435B"/>
    <w:rsid w:val="204A0522"/>
    <w:rsid w:val="20766F56"/>
    <w:rsid w:val="215321DB"/>
    <w:rsid w:val="233774AF"/>
    <w:rsid w:val="23956A04"/>
    <w:rsid w:val="23E76C0D"/>
    <w:rsid w:val="24A40FF4"/>
    <w:rsid w:val="24BD2AF5"/>
    <w:rsid w:val="25183326"/>
    <w:rsid w:val="252A68FA"/>
    <w:rsid w:val="255C249D"/>
    <w:rsid w:val="25E2239D"/>
    <w:rsid w:val="25E53FA6"/>
    <w:rsid w:val="25FD775E"/>
    <w:rsid w:val="26062636"/>
    <w:rsid w:val="269D26FC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87358B"/>
    <w:rsid w:val="2B607068"/>
    <w:rsid w:val="2B821443"/>
    <w:rsid w:val="2B840C20"/>
    <w:rsid w:val="2C125D9F"/>
    <w:rsid w:val="2C280AFD"/>
    <w:rsid w:val="2C684A10"/>
    <w:rsid w:val="2CC34A70"/>
    <w:rsid w:val="2CCD3F5D"/>
    <w:rsid w:val="2D117FEA"/>
    <w:rsid w:val="2D4E4DBC"/>
    <w:rsid w:val="2DE10115"/>
    <w:rsid w:val="2E806786"/>
    <w:rsid w:val="2F1C7F82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593803"/>
    <w:rsid w:val="37713F69"/>
    <w:rsid w:val="377A4252"/>
    <w:rsid w:val="38C31A01"/>
    <w:rsid w:val="38D030A4"/>
    <w:rsid w:val="39510ACF"/>
    <w:rsid w:val="39F2406C"/>
    <w:rsid w:val="3A110544"/>
    <w:rsid w:val="3AB34536"/>
    <w:rsid w:val="3B0F4EA6"/>
    <w:rsid w:val="3B1A11D4"/>
    <w:rsid w:val="3BAD3B42"/>
    <w:rsid w:val="3BE20D07"/>
    <w:rsid w:val="3C2526B5"/>
    <w:rsid w:val="3C46706F"/>
    <w:rsid w:val="3CF9721F"/>
    <w:rsid w:val="3CFA0A00"/>
    <w:rsid w:val="3D582684"/>
    <w:rsid w:val="3E7026F8"/>
    <w:rsid w:val="3E7B421A"/>
    <w:rsid w:val="3E7E47D6"/>
    <w:rsid w:val="3EB23F3A"/>
    <w:rsid w:val="3FF903C7"/>
    <w:rsid w:val="40194FA4"/>
    <w:rsid w:val="40407AF5"/>
    <w:rsid w:val="40467298"/>
    <w:rsid w:val="40A646DF"/>
    <w:rsid w:val="40E3635C"/>
    <w:rsid w:val="41156373"/>
    <w:rsid w:val="41610899"/>
    <w:rsid w:val="417D34CA"/>
    <w:rsid w:val="43296CA2"/>
    <w:rsid w:val="432F2160"/>
    <w:rsid w:val="437C70B4"/>
    <w:rsid w:val="437D090D"/>
    <w:rsid w:val="43C3771F"/>
    <w:rsid w:val="4423483B"/>
    <w:rsid w:val="44927FAA"/>
    <w:rsid w:val="44EE5B50"/>
    <w:rsid w:val="45460E2C"/>
    <w:rsid w:val="45C85B83"/>
    <w:rsid w:val="4616728A"/>
    <w:rsid w:val="464034BB"/>
    <w:rsid w:val="46436A89"/>
    <w:rsid w:val="465217BF"/>
    <w:rsid w:val="46624D91"/>
    <w:rsid w:val="467210E9"/>
    <w:rsid w:val="473B175D"/>
    <w:rsid w:val="474A6DC2"/>
    <w:rsid w:val="478B4F36"/>
    <w:rsid w:val="47B46207"/>
    <w:rsid w:val="480916E0"/>
    <w:rsid w:val="484D2C0A"/>
    <w:rsid w:val="48875067"/>
    <w:rsid w:val="49600F6E"/>
    <w:rsid w:val="49960C0E"/>
    <w:rsid w:val="4A0C1759"/>
    <w:rsid w:val="4A4454B2"/>
    <w:rsid w:val="4A78234E"/>
    <w:rsid w:val="4AD818B9"/>
    <w:rsid w:val="4AFA770A"/>
    <w:rsid w:val="4B054041"/>
    <w:rsid w:val="4B255D5A"/>
    <w:rsid w:val="4B80525A"/>
    <w:rsid w:val="4B937EF6"/>
    <w:rsid w:val="4BFE5398"/>
    <w:rsid w:val="4C202960"/>
    <w:rsid w:val="4C4A64A2"/>
    <w:rsid w:val="4D3F0F83"/>
    <w:rsid w:val="4D516D3B"/>
    <w:rsid w:val="4D8A409B"/>
    <w:rsid w:val="4DAC11F8"/>
    <w:rsid w:val="4DAD70F9"/>
    <w:rsid w:val="4E2D5B04"/>
    <w:rsid w:val="4F457374"/>
    <w:rsid w:val="50732A04"/>
    <w:rsid w:val="50820E12"/>
    <w:rsid w:val="50937D24"/>
    <w:rsid w:val="51AB4B67"/>
    <w:rsid w:val="520F27CA"/>
    <w:rsid w:val="5267258E"/>
    <w:rsid w:val="52A047C3"/>
    <w:rsid w:val="53AE5CB2"/>
    <w:rsid w:val="540C53A0"/>
    <w:rsid w:val="549F41F2"/>
    <w:rsid w:val="5585601C"/>
    <w:rsid w:val="55CC58B3"/>
    <w:rsid w:val="569A6786"/>
    <w:rsid w:val="56DB2DC1"/>
    <w:rsid w:val="583817D0"/>
    <w:rsid w:val="5875050D"/>
    <w:rsid w:val="58AC310F"/>
    <w:rsid w:val="590748E7"/>
    <w:rsid w:val="59290A80"/>
    <w:rsid w:val="59AA4265"/>
    <w:rsid w:val="5B403B3D"/>
    <w:rsid w:val="5BA2764B"/>
    <w:rsid w:val="5BE735CB"/>
    <w:rsid w:val="5C824647"/>
    <w:rsid w:val="5CC234B4"/>
    <w:rsid w:val="5E2426B3"/>
    <w:rsid w:val="5E6650FD"/>
    <w:rsid w:val="5E6D7C66"/>
    <w:rsid w:val="5EC61CC1"/>
    <w:rsid w:val="5ED33264"/>
    <w:rsid w:val="5EF25870"/>
    <w:rsid w:val="5FB535FC"/>
    <w:rsid w:val="5FF6265A"/>
    <w:rsid w:val="61434438"/>
    <w:rsid w:val="615103BF"/>
    <w:rsid w:val="619472FF"/>
    <w:rsid w:val="61DC2295"/>
    <w:rsid w:val="6234291E"/>
    <w:rsid w:val="62EC489F"/>
    <w:rsid w:val="63BA0AFC"/>
    <w:rsid w:val="648221E9"/>
    <w:rsid w:val="64B86BE8"/>
    <w:rsid w:val="64B92431"/>
    <w:rsid w:val="64BF6B61"/>
    <w:rsid w:val="64F63B27"/>
    <w:rsid w:val="65195CD5"/>
    <w:rsid w:val="6555476B"/>
    <w:rsid w:val="65DE74EC"/>
    <w:rsid w:val="65EA7846"/>
    <w:rsid w:val="665A0543"/>
    <w:rsid w:val="671B779A"/>
    <w:rsid w:val="671D183F"/>
    <w:rsid w:val="672C6BD4"/>
    <w:rsid w:val="67B4148F"/>
    <w:rsid w:val="67D11C95"/>
    <w:rsid w:val="67EA3876"/>
    <w:rsid w:val="682A6190"/>
    <w:rsid w:val="68454A76"/>
    <w:rsid w:val="686314D3"/>
    <w:rsid w:val="69CB3351"/>
    <w:rsid w:val="6A2A0C5B"/>
    <w:rsid w:val="6A773B0A"/>
    <w:rsid w:val="6A9915C4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FB10510"/>
    <w:rsid w:val="6FC811FF"/>
    <w:rsid w:val="705B2AAB"/>
    <w:rsid w:val="712803D6"/>
    <w:rsid w:val="72E90F3E"/>
    <w:rsid w:val="72F44451"/>
    <w:rsid w:val="735C74F0"/>
    <w:rsid w:val="74185D8F"/>
    <w:rsid w:val="74924CB2"/>
    <w:rsid w:val="76DB3E67"/>
    <w:rsid w:val="76F10BC7"/>
    <w:rsid w:val="77386DF7"/>
    <w:rsid w:val="776435E2"/>
    <w:rsid w:val="781157AB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FA69B5"/>
    <w:rsid w:val="7B2A7C2F"/>
    <w:rsid w:val="7BC2550E"/>
    <w:rsid w:val="7C1D4E40"/>
    <w:rsid w:val="7C41457B"/>
    <w:rsid w:val="7C5A21C6"/>
    <w:rsid w:val="7C753176"/>
    <w:rsid w:val="7CB040F9"/>
    <w:rsid w:val="7D59438F"/>
    <w:rsid w:val="7D5C483B"/>
    <w:rsid w:val="7D701300"/>
    <w:rsid w:val="7D7B5578"/>
    <w:rsid w:val="7DA656C0"/>
    <w:rsid w:val="7DCB53EE"/>
    <w:rsid w:val="7DE67CCF"/>
    <w:rsid w:val="7F5C3F2F"/>
    <w:rsid w:val="7FAA2938"/>
    <w:rsid w:val="7FC0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9607</Words>
  <Characters>9618</Characters>
  <Lines>0</Lines>
  <Paragraphs>0</Paragraphs>
  <TotalTime>4</TotalTime>
  <ScaleCrop>false</ScaleCrop>
  <LinksUpToDate>false</LinksUpToDate>
  <CharactersWithSpaces>9719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黄榜</cp:lastModifiedBy>
  <cp:lastPrinted>2020-05-29T01:40:00Z</cp:lastPrinted>
  <dcterms:modified xsi:type="dcterms:W3CDTF">2022-07-01T11:54:52Z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5999A62C5ADA47B9ACD1CC7876B01B44</vt:lpwstr>
  </property>
</Properties>
</file>