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28" w:tblpY="-1"/>
        <w:tblOverlap w:val="never"/>
        <w:tblW w:w="0" w:type="auto"/>
        <w:tblLayout w:type="fixed"/>
        <w:tblLook w:val="04A0"/>
      </w:tblPr>
      <w:tblGrid>
        <w:gridCol w:w="14080"/>
      </w:tblGrid>
      <w:tr w:rsidR="00715C1E" w:rsidTr="00715C1E">
        <w:trPr>
          <w:trHeight w:val="802"/>
        </w:trPr>
        <w:tc>
          <w:tcPr>
            <w:tcW w:w="14080" w:type="dxa"/>
            <w:vAlign w:val="center"/>
          </w:tcPr>
          <w:p w:rsidR="00715C1E" w:rsidRDefault="00715C1E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附件</w:t>
            </w:r>
            <w:r>
              <w:rPr>
                <w:rFonts w:eastAsia="黑体"/>
                <w:sz w:val="32"/>
                <w:szCs w:val="32"/>
              </w:rPr>
              <w:t>2</w:t>
            </w:r>
          </w:p>
          <w:p w:rsidR="00715C1E" w:rsidRDefault="00715C1E">
            <w:pPr>
              <w:widowControl/>
              <w:spacing w:line="700" w:lineRule="exact"/>
              <w:jc w:val="center"/>
              <w:textAlignment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2022</w:t>
            </w:r>
            <w:r>
              <w:rPr>
                <w:rFonts w:eastAsia="方正小标宋简体" w:hint="eastAsia"/>
                <w:kern w:val="0"/>
                <w:sz w:val="44"/>
                <w:szCs w:val="44"/>
              </w:rPr>
              <w:t>年金华市丽泽中学招聘教师岗位</w:t>
            </w:r>
            <w:r>
              <w:rPr>
                <w:rFonts w:eastAsia="方正小标宋简体"/>
                <w:kern w:val="0"/>
                <w:sz w:val="44"/>
                <w:szCs w:val="44"/>
              </w:rPr>
              <w:t xml:space="preserve"> </w:t>
            </w:r>
            <w:r>
              <w:rPr>
                <w:rFonts w:eastAsia="方正小标宋简体" w:hint="eastAsia"/>
                <w:kern w:val="0"/>
                <w:sz w:val="44"/>
                <w:szCs w:val="44"/>
              </w:rPr>
              <w:t>（二）</w:t>
            </w:r>
            <w:r>
              <w:rPr>
                <w:rFonts w:eastAsia="方正小标宋简体"/>
                <w:kern w:val="0"/>
                <w:sz w:val="44"/>
                <w:szCs w:val="44"/>
              </w:rPr>
              <w:t xml:space="preserve">         </w:t>
            </w:r>
          </w:p>
          <w:tbl>
            <w:tblPr>
              <w:tblpPr w:leftFromText="180" w:rightFromText="180" w:vertAnchor="text" w:horzAnchor="page" w:tblpXSpec="center" w:tblpY="86"/>
              <w:tblOverlap w:val="never"/>
              <w:tblW w:w="13995" w:type="dxa"/>
              <w:tblLayout w:type="fixed"/>
              <w:tblLook w:val="04A0"/>
            </w:tblPr>
            <w:tblGrid>
              <w:gridCol w:w="1526"/>
              <w:gridCol w:w="550"/>
              <w:gridCol w:w="5592"/>
              <w:gridCol w:w="2441"/>
              <w:gridCol w:w="3886"/>
            </w:tblGrid>
            <w:tr w:rsidR="00715C1E">
              <w:trPr>
                <w:trHeight w:val="453"/>
              </w:trPr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color w:val="000000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4"/>
                      <w:lang/>
                    </w:rPr>
                    <w:t>招聘岗位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color w:val="000000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4"/>
                      <w:lang/>
                    </w:rPr>
                    <w:t>人数</w:t>
                  </w:r>
                </w:p>
              </w:tc>
              <w:tc>
                <w:tcPr>
                  <w:tcW w:w="5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color w:val="000000"/>
                      <w:kern w:val="0"/>
                      <w:sz w:val="24"/>
                      <w:lang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4"/>
                      <w:lang/>
                    </w:rPr>
                    <w:t>专业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color w:val="FFC000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4"/>
                      <w:lang/>
                    </w:rPr>
                    <w:t>考试方式</w:t>
                  </w:r>
                </w:p>
              </w:tc>
              <w:tc>
                <w:tcPr>
                  <w:tcW w:w="3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color w:val="000000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4"/>
                      <w:lang/>
                    </w:rPr>
                    <w:t>相关要求</w:t>
                  </w:r>
                </w:p>
              </w:tc>
            </w:tr>
            <w:tr w:rsidR="00715C1E" w:rsidTr="00715C1E">
              <w:trPr>
                <w:trHeight w:val="916"/>
              </w:trPr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初中语文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5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  <w:lang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</w:rPr>
                    <w:t>中国语言文学、学科教学（语文）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FFC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38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left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  <w:lang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24"/>
                      <w:lang/>
                    </w:rPr>
                    <w:t>招聘条件：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lang/>
                    </w:rPr>
                    <w:t xml:space="preserve">                                                1.具有硕士研究生学历学位；                                    2.具有教师资格证书；</w:t>
                  </w:r>
                </w:p>
                <w:p w:rsidR="00715C1E" w:rsidRDefault="00715C1E">
                  <w:pPr>
                    <w:widowControl/>
                    <w:jc w:val="left"/>
                    <w:textAlignment w:val="center"/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lang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lang/>
                    </w:rPr>
                    <w:t xml:space="preserve">3.应聘人员的专业需与招聘岗位专业要求相匹配，转公前民办学校在岗教师可按现任教学科报考相应岗位；                              </w:t>
                  </w:r>
                </w:p>
                <w:p w:rsidR="00715C1E" w:rsidRDefault="00715C1E">
                  <w:pPr>
                    <w:widowControl/>
                    <w:jc w:val="left"/>
                    <w:textAlignment w:val="center"/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lang/>
                    </w:rPr>
                    <w:t>4.</w:t>
                  </w:r>
                  <w:r>
                    <w:rPr>
                      <w:rStyle w:val="font21"/>
                      <w:rFonts w:ascii="仿宋_GB2312" w:eastAsia="仿宋_GB2312" w:hAnsi="仿宋_GB2312" w:cs="仿宋_GB2312" w:hint="default"/>
                      <w:lang/>
                    </w:rPr>
                    <w:t>一年及以上任教经历</w:t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lang/>
                    </w:rPr>
                    <w:t>。</w:t>
                  </w:r>
                </w:p>
              </w:tc>
            </w:tr>
            <w:tr w:rsidR="00715C1E">
              <w:trPr>
                <w:trHeight w:val="1068"/>
              </w:trPr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lang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初中数学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5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Style w:val="font71"/>
                      <w:rFonts w:ascii="仿宋_GB2312" w:eastAsia="仿宋_GB2312" w:hAnsi="仿宋_GB2312" w:cs="仿宋_GB2312" w:hint="default"/>
                      <w:lang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数学与应用数学、学科教学（数学）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lang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38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</w:rPr>
                  </w:pPr>
                </w:p>
              </w:tc>
            </w:tr>
            <w:tr w:rsidR="00715C1E">
              <w:trPr>
                <w:trHeight w:val="1068"/>
              </w:trPr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lang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初中英语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5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kern w:val="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</w:rPr>
                    <w:t>英语语言文学、学科教学（英语）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lang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38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</w:rPr>
                  </w:pPr>
                </w:p>
              </w:tc>
            </w:tr>
            <w:tr w:rsidR="00715C1E" w:rsidTr="00715C1E">
              <w:trPr>
                <w:trHeight w:val="816"/>
              </w:trPr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初中科学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kern w:val="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</w:rPr>
                    <w:t>物理学、化学、生物学、学科教学（物理、化学、生物）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38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</w:rPr>
                  </w:pPr>
                </w:p>
              </w:tc>
            </w:tr>
            <w:tr w:rsidR="00715C1E">
              <w:trPr>
                <w:trHeight w:val="1110"/>
              </w:trPr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初中社会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kern w:val="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</w:rPr>
                    <w:t>思想政治教育、历史学、地理学、学科教学（思政、历史、地理）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38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</w:rPr>
                  </w:pPr>
                </w:p>
              </w:tc>
            </w:tr>
            <w:tr w:rsidR="00715C1E" w:rsidTr="00715C1E">
              <w:trPr>
                <w:trHeight w:val="859"/>
              </w:trPr>
              <w:tc>
                <w:tcPr>
                  <w:tcW w:w="20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合计</w:t>
                  </w:r>
                </w:p>
              </w:tc>
              <w:tc>
                <w:tcPr>
                  <w:tcW w:w="119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15C1E" w:rsidRDefault="00715C1E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6</w:t>
                  </w:r>
                </w:p>
              </w:tc>
            </w:tr>
          </w:tbl>
          <w:p w:rsidR="00715C1E" w:rsidRDefault="00715C1E" w:rsidP="00715C1E">
            <w:pPr>
              <w:widowControl/>
              <w:spacing w:line="700" w:lineRule="exact"/>
              <w:textAlignment w:val="center"/>
              <w:rPr>
                <w:rFonts w:eastAsia="华文中宋"/>
                <w:color w:val="000000"/>
                <w:sz w:val="36"/>
                <w:szCs w:val="36"/>
              </w:rPr>
            </w:pPr>
          </w:p>
        </w:tc>
      </w:tr>
    </w:tbl>
    <w:p w:rsidR="00B65D4D" w:rsidRPr="00715C1E" w:rsidRDefault="00B65D4D"/>
    <w:sectPr w:rsidR="00B65D4D" w:rsidRPr="00715C1E" w:rsidSect="00715C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C1E"/>
    <w:rsid w:val="00715C1E"/>
    <w:rsid w:val="00B6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qFormat/>
    <w:rsid w:val="00715C1E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qFormat/>
    <w:rsid w:val="00715C1E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semiHidden/>
    <w:unhideWhenUsed/>
    <w:rsid w:val="00715C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李盛媛</dc:creator>
  <cp:keywords/>
  <dc:description/>
  <cp:lastModifiedBy>李盛媛</cp:lastModifiedBy>
  <cp:revision>3</cp:revision>
  <dcterms:created xsi:type="dcterms:W3CDTF">2022-07-27T10:37:00Z</dcterms:created>
  <dcterms:modified xsi:type="dcterms:W3CDTF">2022-07-27T10:38:00Z</dcterms:modified>
</cp:coreProperties>
</file>