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2022年烟台市牟平区部分事业单位公开招聘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按照事业单位公开招聘的相关规定，凡符合《2022年烟台市牟平区部分事业单位公开招聘工作人员简章》（以下简称《简章》）规定的条件及招聘岗位资格条件者，均可应聘。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rPr>
        <w:t>1年8月10日（含）以后出生；岗位另有要求的，以岗位要求为准。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除2022年全日制普通高等院校毕业生学历证书、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学历学位认证书应于2022年8月底前取得外，招聘岗位要求的包括学历证书、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的国（境）外学历学位认证书〕，应聘人员均须于2022年8月9日（含）之前取得，且在现场资格审查、考察、办理聘用手续等期间该证件均有效。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11.报名对浏览器有何要求？报名时提示“保存错误”如何处理？</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12.填报相关表格、信息时需注意什么？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13.</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14.应聘人员是否可以更改报考岗位？</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17.已经签订就业协议书的2022年全日制普通高等院校毕业生，报考时应注意什么？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18.考试费用是如何收取的？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鲁发改成本〔2022〕55号</w:t>
      </w:r>
      <w:r>
        <w:rPr>
          <w:rFonts w:hint="eastAsia" w:ascii="仿宋_GB2312" w:hAnsi="仿宋_GB2312" w:eastAsia="仿宋_GB2312" w:cs="仿宋_GB2312"/>
          <w:kern w:val="0"/>
          <w:sz w:val="32"/>
          <w:szCs w:val="32"/>
        </w:rPr>
        <w:t>文件的规定，笔试费用为每人每科40元，面试费用每人70元。</w:t>
      </w:r>
      <w:r>
        <w:rPr>
          <w:rFonts w:hint="eastAsia" w:ascii="仿宋_GB2312" w:hAnsi="仿宋" w:eastAsia="仿宋_GB2312"/>
          <w:sz w:val="32"/>
          <w:szCs w:val="32"/>
        </w:rPr>
        <w:t>享受减免考务费用的农村特困大学生、城市低保人员和残疾人，</w:t>
      </w:r>
      <w:r>
        <w:rPr>
          <w:rFonts w:hint="eastAsia" w:ascii="仿宋_GB2312" w:hAnsi="仿宋" w:eastAsia="仿宋_GB2312"/>
          <w:color w:val="000000" w:themeColor="text1"/>
          <w:sz w:val="32"/>
          <w:szCs w:val="32"/>
          <w14:textFill>
            <w14:solidFill>
              <w14:schemeClr w14:val="tx1"/>
            </w14:solidFill>
          </w14:textFill>
        </w:rPr>
        <w:t>通过网上初审后，须在网上</w:t>
      </w:r>
      <w:r>
        <w:rPr>
          <w:rFonts w:ascii="仿宋_GB2312" w:hAnsi="仿宋" w:eastAsia="仿宋_GB2312"/>
          <w:color w:val="000000" w:themeColor="text1"/>
          <w:sz w:val="32"/>
          <w:szCs w:val="32"/>
          <w14:textFill>
            <w14:solidFill>
              <w14:schemeClr w14:val="tx1"/>
            </w14:solidFill>
          </w14:textFill>
        </w:rPr>
        <w:t>缴费</w:t>
      </w:r>
      <w:r>
        <w:rPr>
          <w:rFonts w:hint="eastAsia" w:ascii="仿宋_GB2312" w:hAnsi="仿宋" w:eastAsia="仿宋_GB2312"/>
          <w:color w:val="000000" w:themeColor="text1"/>
          <w:sz w:val="32"/>
          <w:szCs w:val="32"/>
          <w14:textFill>
            <w14:solidFill>
              <w14:schemeClr w14:val="tx1"/>
            </w14:solidFill>
          </w14:textFill>
        </w:rPr>
        <w:t>截止</w:t>
      </w:r>
      <w:r>
        <w:rPr>
          <w:rFonts w:ascii="仿宋_GB2312" w:hAnsi="仿宋" w:eastAsia="仿宋_GB2312"/>
          <w:color w:val="000000" w:themeColor="text1"/>
          <w:sz w:val="32"/>
          <w:szCs w:val="32"/>
          <w14:textFill>
            <w14:solidFill>
              <w14:schemeClr w14:val="tx1"/>
            </w14:solidFill>
          </w14:textFill>
        </w:rPr>
        <w:t>前通过</w:t>
      </w:r>
      <w:r>
        <w:rPr>
          <w:rFonts w:hint="eastAsia" w:ascii="仿宋_GB2312" w:hAnsi="仿宋" w:eastAsia="仿宋_GB2312"/>
          <w:color w:val="000000" w:themeColor="text1"/>
          <w:sz w:val="32"/>
          <w:szCs w:val="32"/>
          <w14:textFill>
            <w14:solidFill>
              <w14:schemeClr w14:val="tx1"/>
            </w14:solidFill>
          </w14:textFill>
        </w:rPr>
        <w:t>报名</w:t>
      </w:r>
      <w:r>
        <w:rPr>
          <w:rFonts w:ascii="仿宋_GB2312" w:hAnsi="仿宋" w:eastAsia="仿宋_GB2312"/>
          <w:color w:val="000000" w:themeColor="text1"/>
          <w:sz w:val="32"/>
          <w:szCs w:val="32"/>
          <w14:textFill>
            <w14:solidFill>
              <w14:schemeClr w14:val="tx1"/>
            </w14:solidFill>
          </w14:textFill>
        </w:rPr>
        <w:t>邮箱提交申办免费的有关证明材料，经核准通过后，</w:t>
      </w:r>
      <w:r>
        <w:rPr>
          <w:rFonts w:hint="eastAsia" w:ascii="仿宋_GB2312" w:hAnsi="仿宋" w:eastAsia="仿宋_GB2312"/>
          <w:color w:val="000000" w:themeColor="text1"/>
          <w:sz w:val="32"/>
          <w:szCs w:val="32"/>
          <w14:textFill>
            <w14:solidFill>
              <w14:schemeClr w14:val="tx1"/>
            </w14:solidFill>
          </w14:textFill>
        </w:rPr>
        <w:t>不需要缴纳</w:t>
      </w:r>
      <w:r>
        <w:rPr>
          <w:rFonts w:ascii="仿宋_GB2312" w:hAnsi="仿宋" w:eastAsia="仿宋_GB2312"/>
          <w:color w:val="000000" w:themeColor="text1"/>
          <w:sz w:val="32"/>
          <w:szCs w:val="32"/>
          <w14:textFill>
            <w14:solidFill>
              <w14:schemeClr w14:val="tx1"/>
            </w14:solidFill>
          </w14:textFill>
        </w:rPr>
        <w:t>考试考</w:t>
      </w:r>
      <w:r>
        <w:rPr>
          <w:rFonts w:hint="eastAsia" w:ascii="仿宋_GB2312" w:hAnsi="仿宋" w:eastAsia="仿宋_GB2312"/>
          <w:color w:val="000000" w:themeColor="text1"/>
          <w:sz w:val="32"/>
          <w:szCs w:val="32"/>
          <w14:textFill>
            <w14:solidFill>
              <w14:schemeClr w14:val="tx1"/>
            </w14:solidFill>
          </w14:textFill>
        </w:rPr>
        <w:t>务费，</w:t>
      </w:r>
      <w:r>
        <w:rPr>
          <w:rFonts w:hint="eastAsia" w:ascii="仿宋_GB2312" w:hAnsi="仿宋" w:eastAsia="仿宋_GB2312"/>
          <w:sz w:val="32"/>
          <w:szCs w:val="32"/>
        </w:rPr>
        <w:t>享受减免面试考务费的人员，经本人申请，可免缴笔试考务费。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ascii="仿宋_GB2312" w:hAnsi="仿宋_GB2312" w:eastAsia="仿宋_GB2312" w:cs="仿宋_GB2312"/>
          <w:kern w:val="0"/>
          <w:sz w:val="32"/>
          <w:szCs w:val="32"/>
        </w:rPr>
        <w:t>mpqrsjsgk@yt.shandong.cn</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有效期内的残疾人联合会机关颁发的《中华人民共和国残疾人证》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8月13日16:00</w:t>
      </w:r>
      <w:r>
        <w:rPr>
          <w:rFonts w:hint="eastAsia" w:ascii="仿宋_GB2312" w:eastAsia="仿宋_GB2312"/>
          <w:sz w:val="32"/>
          <w:szCs w:val="32"/>
        </w:rPr>
        <w:t>前发送，以邮箱显示接收时间为准。邮件发送成功后，请尽快于工作时间内致电0535-4281095确认邮件收到情况。免考务费认定结果以电子邮件反馈。</w:t>
      </w:r>
      <w:r>
        <w:rPr>
          <w:rFonts w:hint="eastAsia" w:ascii="仿宋_GB2312" w:hAnsi="仿宋_GB2312" w:eastAsia="仿宋_GB2312" w:cs="仿宋_GB2312"/>
          <w:kern w:val="0"/>
          <w:sz w:val="32"/>
          <w:szCs w:val="32"/>
        </w:rPr>
        <w:t>农村特困大学生、城市低保人员和残疾人如进入笔试范围，在现场资格审查时，经应聘人员本人申请，可免缴笔试考务费。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21.现场资格审查需要携带什么材料？</w:t>
      </w:r>
    </w:p>
    <w:p>
      <w:pPr>
        <w:snapToGrid w:val="0"/>
        <w:spacing w:line="560" w:lineRule="exact"/>
        <w:ind w:firstLine="627" w:firstLineChars="196"/>
        <w:rPr>
          <w:rFonts w:hint="eastAsia"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现场资格审查需要提交填写完整的《烟台市牟平区部分事业单位公开招聘工作人员报名登记表》、亲笔签名的《诚信承诺书》及同底版近期1寸免冠正面照片2张和相关证明材料（均要求提供原件和复印件），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w:t>
      </w:r>
      <w:r>
        <w:rPr>
          <w:rFonts w:hint="eastAsia" w:ascii="仿宋_GB2312" w:hAnsi="仿宋_GB2312" w:eastAsia="仿宋_GB2312" w:cs="仿宋_GB2312"/>
          <w:kern w:val="0"/>
          <w:sz w:val="32"/>
          <w:szCs w:val="32"/>
          <w:highlight w:val="none"/>
        </w:rPr>
        <w:t>、相应学位证书、身份证、与主管部门签订的聘用合同、生源地证明材料（全国项目山东生源的需要提供）外，</w:t>
      </w:r>
      <w:r>
        <w:rPr>
          <w:rFonts w:hint="eastAsia" w:ascii="仿宋_GB2312" w:hAnsi="仿宋_GB2312" w:eastAsia="仿宋_GB2312" w:cs="仿宋_GB2312"/>
          <w:kern w:val="0"/>
          <w:sz w:val="32"/>
          <w:szCs w:val="32"/>
          <w:highlight w:val="none"/>
          <w:lang w:eastAsia="zh-CN"/>
        </w:rPr>
        <w:t>大学生村官须提供</w:t>
      </w:r>
      <w:r>
        <w:rPr>
          <w:rFonts w:hint="eastAsia" w:ascii="仿宋_GB2312" w:hAnsi="仿宋_GB2312" w:eastAsia="仿宋_GB2312" w:cs="仿宋_GB2312"/>
          <w:kern w:val="0"/>
          <w:sz w:val="32"/>
          <w:szCs w:val="32"/>
          <w:highlight w:val="none"/>
        </w:rPr>
        <w:t>县以上组织部门</w:t>
      </w:r>
      <w:r>
        <w:rPr>
          <w:rFonts w:hint="eastAsia" w:ascii="仿宋_GB2312" w:hAnsi="仿宋_GB2312" w:eastAsia="仿宋_GB2312" w:cs="仿宋_GB2312"/>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w:t>
      </w:r>
      <w:r>
        <w:rPr>
          <w:rFonts w:hint="eastAsia" w:ascii="仿宋_GB2312" w:hAnsi="仿宋_GB2312" w:eastAsia="仿宋_GB2312" w:cs="仿宋_GB2312"/>
          <w:kern w:val="0"/>
          <w:sz w:val="32"/>
          <w:szCs w:val="32"/>
        </w:rPr>
        <w:t>“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w:t>
      </w:r>
      <w:r>
        <w:rPr>
          <w:rFonts w:hint="eastAsia" w:ascii="仿宋_GB2312" w:hAnsi="仿宋_GB2312" w:eastAsia="仿宋_GB2312" w:cs="仿宋_GB2312"/>
          <w:kern w:val="0"/>
          <w:sz w:val="32"/>
          <w:szCs w:val="32"/>
          <w:highlight w:val="none"/>
        </w:rPr>
        <w:t>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napToGrid w:val="0"/>
        <w:spacing w:line="560" w:lineRule="exact"/>
        <w:ind w:firstLine="630"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spacing w:line="560" w:lineRule="exact"/>
        <w:ind w:firstLine="321" w:firstLineChars="100"/>
        <w:rPr>
          <w:rFonts w:hint="eastAsia" w:ascii="仿宋_GB2312" w:hAnsi="仿宋_GB2312" w:eastAsia="仿宋_GB2312" w:cs="仿宋_GB2312"/>
          <w:kern w:val="0"/>
          <w:sz w:val="32"/>
          <w:szCs w:val="32"/>
        </w:rPr>
      </w:pPr>
      <w:bookmarkStart w:id="0" w:name="_GoBack"/>
      <w:bookmarkEnd w:id="0"/>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2022年全日制普通高校毕业生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4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《专业研究方向承诺表》（采用《简章》附件4式样）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专业研究方向证明，应由高校教务部门或研究生处（院）出具；2022年全日制普通高校毕业生《就业推荐表》标明专业研究方向的，可作为专业研究方向证明。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招聘岗位有其他要求的，必须满足《2022年烟台市牟平区部分</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》中的所有条件才能报考。现场资格审查时，在《烟台市牟平区部分事业单位公开招聘工作人员报名登记表》相应空栏中，如实填写自己的有关情况，并出具证明材料原件和复印件。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27.现场资格审查时，未能在规定时间内提交齐全指定材料，可否延期补交有关材料？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因故不能在现场资格审查时提供的，也可在面试后（播音主持岗位笔试后）第二个工作日17:00前提供。未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color w:val="FF0000"/>
          <w:kern w:val="0"/>
          <w:sz w:val="32"/>
          <w:szCs w:val="32"/>
        </w:rPr>
      </w:pPr>
      <w:r>
        <w:rPr>
          <w:rFonts w:hint="eastAsia" w:ascii="黑体" w:hAnsi="黑体" w:eastAsia="黑体" w:cs="黑体"/>
          <w:kern w:val="0"/>
          <w:sz w:val="32"/>
          <w:szCs w:val="32"/>
        </w:rPr>
        <w:t>28. 现场资格审查、考试和体检时，疫情防控注意事项有哪些?</w:t>
      </w:r>
      <w:r>
        <w:rPr>
          <w:rFonts w:hint="eastAsia" w:ascii="黑体" w:hAnsi="黑体" w:eastAsia="黑体" w:cs="黑体"/>
          <w:color w:val="FF0000"/>
          <w:kern w:val="0"/>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具有以下特殊情形的考生，须主动向招聘主管机关报告，并尽快自行就诊排查，招聘主管机关将根据防疫部门工作要求，综合研判并通知应聘人员可否正常参加，如具备参加条件，须持有现场资格审查、考试和体检前</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天内的2次间隔24小时以上的核酸检测阴性证明，其中1次为现场资格审查、考试和体检前48小时内的核酸检测阴性证明，并在隔离考场考试：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1.存在以下情形的考生，①有中风险等疫情重点地区旅居史且离开上述地区不满</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w:t>
      </w:r>
      <w:r>
        <w:rPr>
          <w:rFonts w:ascii="仿宋_GB2312" w:hAnsi="仿宋_GB2312" w:eastAsia="仿宋_GB2312" w:cs="仿宋_GB2312"/>
          <w:sz w:val="32"/>
          <w:szCs w:val="32"/>
        </w:rPr>
        <w:t>尚在隔离观察期的次密切接触者</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③居住社区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天内发生疫情者；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④有境外旅居史且入境已满</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天但不满</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天者。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资格审查、考试和体检前14天内从发生本土疫情省份入烟返烟参加现场资格审查、考试和体检的考生，须提供启程前48小时内核酸检测阴性证明和入烟后现场资格审查、考试和体检前48小时内的核酸检测阴性证明，</w:t>
      </w:r>
      <w:r>
        <w:rPr>
          <w:rFonts w:ascii="仿宋_GB2312" w:hAnsi="仿宋_GB2312" w:eastAsia="仿宋_GB2312" w:cs="仿宋_GB2312"/>
          <w:sz w:val="32"/>
          <w:szCs w:val="32"/>
        </w:rPr>
        <w:t>或者提供入</w:t>
      </w:r>
      <w:r>
        <w:rPr>
          <w:rFonts w:hint="eastAsia" w:ascii="仿宋_GB2312" w:hAnsi="仿宋_GB2312" w:eastAsia="仿宋_GB2312" w:cs="仿宋_GB2312"/>
          <w:sz w:val="32"/>
          <w:szCs w:val="32"/>
        </w:rPr>
        <w:t>烟</w:t>
      </w:r>
      <w:r>
        <w:rPr>
          <w:rFonts w:ascii="仿宋_GB2312" w:hAnsi="仿宋_GB2312" w:eastAsia="仿宋_GB2312" w:cs="仿宋_GB2312"/>
          <w:sz w:val="32"/>
          <w:szCs w:val="32"/>
        </w:rPr>
        <w:t>后</w:t>
      </w:r>
      <w:r>
        <w:rPr>
          <w:rFonts w:hint="eastAsia" w:ascii="仿宋_GB2312" w:hAnsi="仿宋_GB2312" w:eastAsia="仿宋_GB2312" w:cs="仿宋_GB2312"/>
          <w:sz w:val="32"/>
          <w:szCs w:val="32"/>
        </w:rPr>
        <w:t>资格审查、考试和体检前</w:t>
      </w:r>
      <w:r>
        <w:rPr>
          <w:rFonts w:ascii="仿宋_GB2312" w:hAnsi="仿宋_GB2312" w:eastAsia="仿宋_GB2312" w:cs="仿宋_GB2312"/>
          <w:sz w:val="32"/>
          <w:szCs w:val="32"/>
        </w:rPr>
        <w:t>间隔24小时以上2次核酸检测阴性证明（其中1次为考前48小时内）</w:t>
      </w:r>
      <w:r>
        <w:rPr>
          <w:rFonts w:hint="eastAsia" w:ascii="仿宋_GB2312" w:hAnsi="仿宋_GB2312" w:eastAsia="仿宋_GB2312" w:cs="仿宋_GB2312"/>
          <w:sz w:val="32"/>
          <w:szCs w:val="32"/>
        </w:rPr>
        <w:t>并在隔离考场考试。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3.现场资格审查、考试和体检前</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天有发热、咳嗽等症状的，须提供医疗机构出具的诊断证明和现场资格审查、考试和体检前48小时内的核酸检测阴性证明，并在隔离考场考试。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治愈出院的确诊病例和无症状感染者，应持现场资格审查、考试和体检前7天内的健康体检报告，体检正常、肺部影像学显示肺部病灶完全吸收、2次间隔24小时核酸检测（其中1次为考前48小时）均为阴性的，可在隔离考场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（二）存在以下情形的考生，不得参加现场资格审查、考试和体检：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1.确诊病例、疑似病例、无症状感染者和尚在隔离观察期的密切接触者；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2.现场资格审查、考试和体检前</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天内有发热、咳嗽等症状未痊愈且未排除传染病及身体不适者；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3.有高风险等疫情重点地区旅居史且离开上述地区不满</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4.有境外旅居史且入境未满</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5.不能按要求提供核酸检测阴性证明等健康证明的。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所有应聘人员参加现场资格审查、考试和体检时应佩戴口罩，主动提交《应聘人员健康承诺书》《应聘人员健康管理信息采集表》、山东省电子健康通行码（绿码,原则上不允许使用手机截屏或纸质打印健康通行码）、通信大数据行程卡绿卡、本人48小时内（依采样时间计算）新冠病毒核酸检测阴性证明纸质版原件、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规定执行。疫情防控有关要求根据省市防控最新规定执行。具体注意事项按照疫情防控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29.违纪违规应聘人员如何处理？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咨询招聘简章、报考岗位有关问题，请联系电话：0535-4281095。监督电话：0535-4322627</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OWIyODk4ZWM1MjBkMjNlZmU4YTQxNzQ2MjEwYzY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B758F"/>
    <w:rsid w:val="006D07D1"/>
    <w:rsid w:val="007007B1"/>
    <w:rsid w:val="00705D53"/>
    <w:rsid w:val="00720431"/>
    <w:rsid w:val="00731637"/>
    <w:rsid w:val="0073224B"/>
    <w:rsid w:val="0074160D"/>
    <w:rsid w:val="007866F0"/>
    <w:rsid w:val="00802BC3"/>
    <w:rsid w:val="00834B90"/>
    <w:rsid w:val="00837127"/>
    <w:rsid w:val="00845115"/>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27D20"/>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23A7"/>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675513"/>
    <w:rsid w:val="049A0462"/>
    <w:rsid w:val="04C959D7"/>
    <w:rsid w:val="04F04490"/>
    <w:rsid w:val="058614B9"/>
    <w:rsid w:val="06752BEF"/>
    <w:rsid w:val="06DB1D60"/>
    <w:rsid w:val="06F673EC"/>
    <w:rsid w:val="07103F6E"/>
    <w:rsid w:val="075D0BD8"/>
    <w:rsid w:val="07EA0CE5"/>
    <w:rsid w:val="08A84167"/>
    <w:rsid w:val="08B84F7F"/>
    <w:rsid w:val="08DC6E53"/>
    <w:rsid w:val="09210335"/>
    <w:rsid w:val="09292D87"/>
    <w:rsid w:val="094507DF"/>
    <w:rsid w:val="0950313B"/>
    <w:rsid w:val="09844816"/>
    <w:rsid w:val="0A4418C5"/>
    <w:rsid w:val="0AC33D82"/>
    <w:rsid w:val="0AE11919"/>
    <w:rsid w:val="0AEE6748"/>
    <w:rsid w:val="0B031E40"/>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45133B"/>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BB5B61"/>
    <w:rsid w:val="17DD652C"/>
    <w:rsid w:val="183954C1"/>
    <w:rsid w:val="184516CA"/>
    <w:rsid w:val="187631F1"/>
    <w:rsid w:val="19573545"/>
    <w:rsid w:val="19606A46"/>
    <w:rsid w:val="19C821B5"/>
    <w:rsid w:val="19E33D6F"/>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E906BF1"/>
    <w:rsid w:val="1F032D7E"/>
    <w:rsid w:val="1F3A5F60"/>
    <w:rsid w:val="1F4417CF"/>
    <w:rsid w:val="1FEE1CEB"/>
    <w:rsid w:val="20792ABF"/>
    <w:rsid w:val="20A75580"/>
    <w:rsid w:val="21074221"/>
    <w:rsid w:val="212D783F"/>
    <w:rsid w:val="21F25AB2"/>
    <w:rsid w:val="22226E03"/>
    <w:rsid w:val="228F32C5"/>
    <w:rsid w:val="22B031F9"/>
    <w:rsid w:val="22CA56D0"/>
    <w:rsid w:val="23776473"/>
    <w:rsid w:val="23A54055"/>
    <w:rsid w:val="23C352FC"/>
    <w:rsid w:val="23EC0CF9"/>
    <w:rsid w:val="240D3B86"/>
    <w:rsid w:val="247E4123"/>
    <w:rsid w:val="24BC77E6"/>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05D36"/>
    <w:rsid w:val="319E5CF2"/>
    <w:rsid w:val="32A4559B"/>
    <w:rsid w:val="32A92634"/>
    <w:rsid w:val="332C5832"/>
    <w:rsid w:val="337F6ABC"/>
    <w:rsid w:val="34186C96"/>
    <w:rsid w:val="3546005F"/>
    <w:rsid w:val="3577490E"/>
    <w:rsid w:val="35D1009A"/>
    <w:rsid w:val="35DD2E71"/>
    <w:rsid w:val="35F03F56"/>
    <w:rsid w:val="361C291B"/>
    <w:rsid w:val="363C6A62"/>
    <w:rsid w:val="366217A1"/>
    <w:rsid w:val="368C5CF6"/>
    <w:rsid w:val="37F56440"/>
    <w:rsid w:val="37F842A8"/>
    <w:rsid w:val="382E3FE1"/>
    <w:rsid w:val="38A40713"/>
    <w:rsid w:val="394B09BA"/>
    <w:rsid w:val="39AA3421"/>
    <w:rsid w:val="39DD4918"/>
    <w:rsid w:val="3A2E183B"/>
    <w:rsid w:val="3A3A3BD8"/>
    <w:rsid w:val="3A967CEE"/>
    <w:rsid w:val="3AE6769C"/>
    <w:rsid w:val="3B4856F3"/>
    <w:rsid w:val="3C39567F"/>
    <w:rsid w:val="3CCA2DBF"/>
    <w:rsid w:val="3D0E36EC"/>
    <w:rsid w:val="3D292066"/>
    <w:rsid w:val="3D430A77"/>
    <w:rsid w:val="3D7C136B"/>
    <w:rsid w:val="3D95120A"/>
    <w:rsid w:val="3DD607B5"/>
    <w:rsid w:val="3F1244A1"/>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6B0DF4"/>
    <w:rsid w:val="46BE199C"/>
    <w:rsid w:val="477D44E0"/>
    <w:rsid w:val="478011F7"/>
    <w:rsid w:val="47A42FFE"/>
    <w:rsid w:val="48340996"/>
    <w:rsid w:val="483B3346"/>
    <w:rsid w:val="483E6183"/>
    <w:rsid w:val="4897225A"/>
    <w:rsid w:val="48EB2E13"/>
    <w:rsid w:val="49C02CFC"/>
    <w:rsid w:val="49F713F7"/>
    <w:rsid w:val="4AAF4320"/>
    <w:rsid w:val="4AE853D9"/>
    <w:rsid w:val="4B1F7952"/>
    <w:rsid w:val="4B587A2E"/>
    <w:rsid w:val="4B6E41C0"/>
    <w:rsid w:val="4B78381C"/>
    <w:rsid w:val="4BA92767"/>
    <w:rsid w:val="4BD06D2C"/>
    <w:rsid w:val="4BE84431"/>
    <w:rsid w:val="4C340574"/>
    <w:rsid w:val="4D48612F"/>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6505E4"/>
    <w:rsid w:val="53C4504B"/>
    <w:rsid w:val="5463310B"/>
    <w:rsid w:val="548C17FB"/>
    <w:rsid w:val="54CA5F4A"/>
    <w:rsid w:val="54D004CC"/>
    <w:rsid w:val="54ED68EA"/>
    <w:rsid w:val="550B1FA1"/>
    <w:rsid w:val="5517497E"/>
    <w:rsid w:val="55182E3F"/>
    <w:rsid w:val="55232955"/>
    <w:rsid w:val="55E317F7"/>
    <w:rsid w:val="56C47E9F"/>
    <w:rsid w:val="56D4672E"/>
    <w:rsid w:val="56D64123"/>
    <w:rsid w:val="57BB5C78"/>
    <w:rsid w:val="58AC2C04"/>
    <w:rsid w:val="58B852BA"/>
    <w:rsid w:val="59225AA9"/>
    <w:rsid w:val="59896920"/>
    <w:rsid w:val="599D2394"/>
    <w:rsid w:val="59A61476"/>
    <w:rsid w:val="59E873E2"/>
    <w:rsid w:val="5A310FEB"/>
    <w:rsid w:val="5A4B7F4F"/>
    <w:rsid w:val="5AC323C1"/>
    <w:rsid w:val="5ADF7B74"/>
    <w:rsid w:val="5B03532B"/>
    <w:rsid w:val="5B443328"/>
    <w:rsid w:val="5B5E79A1"/>
    <w:rsid w:val="5BA56CAB"/>
    <w:rsid w:val="5C977095"/>
    <w:rsid w:val="5C98720C"/>
    <w:rsid w:val="5CAC011B"/>
    <w:rsid w:val="5CB16495"/>
    <w:rsid w:val="5CDD13AF"/>
    <w:rsid w:val="5D7267CF"/>
    <w:rsid w:val="5DB24737"/>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314EF3"/>
    <w:rsid w:val="64746C17"/>
    <w:rsid w:val="6539216D"/>
    <w:rsid w:val="653C58A9"/>
    <w:rsid w:val="65640C52"/>
    <w:rsid w:val="65671DA7"/>
    <w:rsid w:val="65B7255F"/>
    <w:rsid w:val="668D572F"/>
    <w:rsid w:val="66AC43D7"/>
    <w:rsid w:val="66CE54C6"/>
    <w:rsid w:val="66EF61DE"/>
    <w:rsid w:val="678A5D04"/>
    <w:rsid w:val="67AE3358"/>
    <w:rsid w:val="683B22B2"/>
    <w:rsid w:val="6850483E"/>
    <w:rsid w:val="68CB1F7E"/>
    <w:rsid w:val="690510B9"/>
    <w:rsid w:val="69BB1A5C"/>
    <w:rsid w:val="69E84A00"/>
    <w:rsid w:val="6A5B69C8"/>
    <w:rsid w:val="6A8B3B60"/>
    <w:rsid w:val="6A96022C"/>
    <w:rsid w:val="6B013CB7"/>
    <w:rsid w:val="6B22718A"/>
    <w:rsid w:val="6B521BA0"/>
    <w:rsid w:val="6B796D9D"/>
    <w:rsid w:val="6C2216A6"/>
    <w:rsid w:val="6CA942B0"/>
    <w:rsid w:val="6CB33E68"/>
    <w:rsid w:val="6CDB09E2"/>
    <w:rsid w:val="6CDB2F5E"/>
    <w:rsid w:val="6D8F1832"/>
    <w:rsid w:val="6DD5626C"/>
    <w:rsid w:val="6EBE1813"/>
    <w:rsid w:val="6FC44AA2"/>
    <w:rsid w:val="708A387C"/>
    <w:rsid w:val="70ED2890"/>
    <w:rsid w:val="713066DB"/>
    <w:rsid w:val="72426071"/>
    <w:rsid w:val="726E5413"/>
    <w:rsid w:val="72FC67AC"/>
    <w:rsid w:val="732E30D0"/>
    <w:rsid w:val="73760711"/>
    <w:rsid w:val="73950812"/>
    <w:rsid w:val="739A70BD"/>
    <w:rsid w:val="73BD3C96"/>
    <w:rsid w:val="73F21F2E"/>
    <w:rsid w:val="74337E92"/>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1A0F9F"/>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 w:val="7FA12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6404</Words>
  <Characters>6606</Characters>
  <Lines>47</Lines>
  <Paragraphs>13</Paragraphs>
  <TotalTime>0</TotalTime>
  <ScaleCrop>false</ScaleCrop>
  <LinksUpToDate>false</LinksUpToDate>
  <CharactersWithSpaces>6611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2022-08-03T01:02:15Z</dcterms:modified>
  <dc:title>问，参加2012年执业医师资格考试，成绩合格，但未发放医师资格证书的，可否报考相关岗位？资格审查时需提供什么材料？</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DB0227514BEC4BA1A5F26146CEA6402E</vt:lpwstr>
  </property>
</Properties>
</file>