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83D" w:rsidRDefault="004E483D" w:rsidP="004E483D">
      <w:pPr>
        <w:rPr>
          <w:rFonts w:hint="eastAsia"/>
        </w:rPr>
      </w:pPr>
      <w:r>
        <w:rPr>
          <w:rFonts w:ascii="黑体" w:eastAsia="黑体" w:hAnsi="宋体" w:cs="黑体" w:hint="eastAsia"/>
          <w:color w:val="191919"/>
          <w:kern w:val="0"/>
          <w:sz w:val="28"/>
          <w:szCs w:val="28"/>
          <w:lang/>
        </w:rPr>
        <w:t>附件1</w:t>
      </w:r>
    </w:p>
    <w:p w:rsidR="004E483D" w:rsidRDefault="004E483D" w:rsidP="004E483D">
      <w:pPr>
        <w:pStyle w:val="5"/>
        <w:ind w:leftChars="0" w:left="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香河县政府系统事业单位2022年公开招聘工作人员岗位信息表</w:t>
      </w:r>
    </w:p>
    <w:p w:rsidR="004E483D" w:rsidRDefault="004E483D" w:rsidP="004E483D">
      <w:pPr>
        <w:pStyle w:val="5"/>
        <w:ind w:leftChars="0" w:left="0"/>
        <w:rPr>
          <w:rFonts w:hint="eastAsia"/>
        </w:rPr>
      </w:pPr>
    </w:p>
    <w:tbl>
      <w:tblPr>
        <w:tblW w:w="12937"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8"/>
        <w:gridCol w:w="1676"/>
        <w:gridCol w:w="1240"/>
        <w:gridCol w:w="635"/>
        <w:gridCol w:w="418"/>
        <w:gridCol w:w="1024"/>
        <w:gridCol w:w="1214"/>
        <w:gridCol w:w="2017"/>
        <w:gridCol w:w="3255"/>
      </w:tblGrid>
      <w:tr w:rsidR="004E483D" w:rsidTr="00EC5222">
        <w:trPr>
          <w:cantSplit/>
          <w:trHeight w:val="1132"/>
          <w:tblHeader/>
        </w:trPr>
        <w:tc>
          <w:tcPr>
            <w:tcW w:w="1458" w:type="dxa"/>
            <w:vAlign w:val="center"/>
          </w:tcPr>
          <w:p w:rsidR="004E483D" w:rsidRDefault="004E483D" w:rsidP="00EC5222">
            <w:pPr>
              <w:widowControl/>
              <w:jc w:val="center"/>
              <w:textAlignment w:val="center"/>
              <w:rPr>
                <w:rFonts w:ascii="宋体" w:hAnsi="宋体" w:cs="宋体" w:hint="eastAsia"/>
                <w:b/>
                <w:bCs/>
                <w:color w:val="000000"/>
                <w:kern w:val="0"/>
                <w:sz w:val="22"/>
                <w:szCs w:val="22"/>
                <w:lang/>
              </w:rPr>
            </w:pPr>
            <w:r>
              <w:rPr>
                <w:rFonts w:ascii="宋体" w:hAnsi="宋体" w:cs="宋体" w:hint="eastAsia"/>
                <w:b/>
                <w:bCs/>
                <w:color w:val="000000"/>
                <w:kern w:val="0"/>
                <w:sz w:val="22"/>
                <w:szCs w:val="22"/>
                <w:lang/>
              </w:rPr>
              <w:t>主管部门</w:t>
            </w:r>
          </w:p>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名    称</w:t>
            </w:r>
          </w:p>
        </w:tc>
        <w:tc>
          <w:tcPr>
            <w:tcW w:w="1676" w:type="dxa"/>
            <w:noWrap/>
            <w:vAlign w:val="center"/>
          </w:tcPr>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事业单位名称</w:t>
            </w:r>
          </w:p>
        </w:tc>
        <w:tc>
          <w:tcPr>
            <w:tcW w:w="1240" w:type="dxa"/>
            <w:noWrap/>
            <w:vAlign w:val="center"/>
          </w:tcPr>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单位性质</w:t>
            </w:r>
          </w:p>
        </w:tc>
        <w:tc>
          <w:tcPr>
            <w:tcW w:w="635" w:type="dxa"/>
            <w:vAlign w:val="center"/>
          </w:tcPr>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招聘人数</w:t>
            </w:r>
          </w:p>
        </w:tc>
        <w:tc>
          <w:tcPr>
            <w:tcW w:w="418" w:type="dxa"/>
            <w:vAlign w:val="center"/>
          </w:tcPr>
          <w:p w:rsidR="004E483D" w:rsidRDefault="004E483D" w:rsidP="00EC5222">
            <w:pPr>
              <w:widowControl/>
              <w:jc w:val="center"/>
              <w:textAlignment w:val="center"/>
              <w:rPr>
                <w:rFonts w:ascii="宋体" w:hAnsi="宋体" w:cs="宋体" w:hint="eastAsia"/>
                <w:b/>
                <w:bCs/>
                <w:color w:val="000000"/>
                <w:kern w:val="0"/>
                <w:sz w:val="22"/>
                <w:szCs w:val="22"/>
                <w:lang/>
              </w:rPr>
            </w:pPr>
            <w:r>
              <w:rPr>
                <w:rFonts w:ascii="宋体" w:hAnsi="宋体" w:cs="宋体" w:hint="eastAsia"/>
                <w:b/>
                <w:bCs/>
                <w:color w:val="000000"/>
                <w:kern w:val="0"/>
                <w:sz w:val="22"/>
                <w:szCs w:val="22"/>
                <w:lang/>
              </w:rPr>
              <w:t>岗位</w:t>
            </w:r>
          </w:p>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类别</w:t>
            </w:r>
          </w:p>
        </w:tc>
        <w:tc>
          <w:tcPr>
            <w:tcW w:w="1024" w:type="dxa"/>
            <w:vAlign w:val="center"/>
          </w:tcPr>
          <w:p w:rsidR="004E483D" w:rsidRDefault="004E483D" w:rsidP="00EC5222">
            <w:pPr>
              <w:widowControl/>
              <w:jc w:val="center"/>
              <w:textAlignment w:val="center"/>
              <w:rPr>
                <w:rFonts w:ascii="宋体" w:hAnsi="宋体" w:cs="宋体" w:hint="eastAsia"/>
                <w:b/>
                <w:bCs/>
                <w:color w:val="000000"/>
                <w:kern w:val="0"/>
                <w:sz w:val="22"/>
                <w:szCs w:val="22"/>
                <w:lang/>
              </w:rPr>
            </w:pPr>
            <w:r>
              <w:rPr>
                <w:rFonts w:ascii="宋体" w:hAnsi="宋体" w:cs="宋体" w:hint="eastAsia"/>
                <w:b/>
                <w:bCs/>
                <w:color w:val="000000"/>
                <w:kern w:val="0"/>
                <w:sz w:val="22"/>
                <w:szCs w:val="22"/>
                <w:lang/>
              </w:rPr>
              <w:t>岗位</w:t>
            </w:r>
          </w:p>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代码</w:t>
            </w:r>
          </w:p>
        </w:tc>
        <w:tc>
          <w:tcPr>
            <w:tcW w:w="1214" w:type="dxa"/>
            <w:noWrap/>
            <w:vAlign w:val="center"/>
          </w:tcPr>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招聘岗位</w:t>
            </w:r>
          </w:p>
        </w:tc>
        <w:tc>
          <w:tcPr>
            <w:tcW w:w="2017" w:type="dxa"/>
            <w:noWrap/>
            <w:vAlign w:val="center"/>
          </w:tcPr>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专业要求</w:t>
            </w:r>
          </w:p>
        </w:tc>
        <w:tc>
          <w:tcPr>
            <w:tcW w:w="3255" w:type="dxa"/>
            <w:noWrap/>
            <w:vAlign w:val="center"/>
          </w:tcPr>
          <w:p w:rsidR="004E483D" w:rsidRDefault="004E483D" w:rsidP="00EC5222">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招聘岗位条件</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财政局</w:t>
            </w: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预算核算中心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4</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010101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会计学、会计、财会、财务会计、财务管理、审计学、审计</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41"/>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010201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会计学、会计、财会、财务会计、财务管理、审计学、审计、国际经济与贸易</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2774"/>
        </w:trPr>
        <w:tc>
          <w:tcPr>
            <w:tcW w:w="145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lastRenderedPageBreak/>
              <w:t>审计局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审计服务中心</w:t>
            </w:r>
          </w:p>
        </w:tc>
        <w:tc>
          <w:tcPr>
            <w:tcW w:w="1240"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020101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 xml:space="preserve">计算机类、会计学、会计、财会、财务会计、财务管理  </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424"/>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应急管理局</w:t>
            </w:r>
          </w:p>
        </w:tc>
        <w:tc>
          <w:tcPr>
            <w:tcW w:w="1676"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防汛抗旱中心</w:t>
            </w:r>
          </w:p>
        </w:tc>
        <w:tc>
          <w:tcPr>
            <w:tcW w:w="1240" w:type="dxa"/>
            <w:vMerge w:val="restart"/>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030101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汉语言文学、汉语言、应用语言学、中国语言文化、中国语言文学、中文应用、中文、文秘、文秘学、秘书学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030102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材料类、电气类、能源动力类、地质类、法学类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lastRenderedPageBreak/>
              <w:t>交通运输局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公路综合服务中心</w:t>
            </w:r>
          </w:p>
        </w:tc>
        <w:tc>
          <w:tcPr>
            <w:tcW w:w="1240"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自收自支</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040101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土木工程、工程管理、交通工程、城乡规划、交通运输、交通土建工程</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市场监督</w:t>
            </w: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管理局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检验所</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050101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计算机类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不良反应中心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050201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化工制药类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水务局</w:t>
            </w: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水利与水土保持所</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060101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水利类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41"/>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水旱灾害防御所</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060201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汉语言文学、汉语言、应用语言学、中国语言文化、中国语言文学、中文应用、中文、文秘、文秘学、秘书学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41"/>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lastRenderedPageBreak/>
              <w:t>发展和改革局</w:t>
            </w:r>
          </w:p>
          <w:p w:rsidR="004E483D" w:rsidRDefault="004E483D" w:rsidP="00EC5222">
            <w:pPr>
              <w:widowControl/>
              <w:textAlignment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基础设施与产业发展中心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070101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能源动力类、能源化学工程、能源与环境经济学、能源经济、新能源材料与器件、能源科学与工程</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2155"/>
        </w:trPr>
        <w:tc>
          <w:tcPr>
            <w:tcW w:w="1458" w:type="dxa"/>
            <w:vMerge/>
            <w:vAlign w:val="center"/>
          </w:tcPr>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基础设施与产业发展中心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070102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财政学类、应用数学、产业经济学、审计学、审计</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统计局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投资建筑统计中心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080101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工业能源统计中心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080201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lastRenderedPageBreak/>
              <w:t>民政局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殡仪馆</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自收自支</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090101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大学本科及以上学历，学士及以上学位，从事殡仪引导员、遗体整容工作，限廊坊市户籍。</w:t>
            </w:r>
          </w:p>
        </w:tc>
      </w:tr>
      <w:tr w:rsidR="004E483D" w:rsidTr="00EC5222">
        <w:trPr>
          <w:cantSplit/>
          <w:trHeight w:val="1126"/>
        </w:trPr>
        <w:tc>
          <w:tcPr>
            <w:tcW w:w="1458" w:type="dxa"/>
            <w:vMerge w:val="restart"/>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人力资源和社会保障局</w:t>
            </w:r>
          </w:p>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香河县企业养老保险所</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100101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会计学、会计、财会、财务管理、审计学、审计</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41"/>
        </w:trPr>
        <w:tc>
          <w:tcPr>
            <w:tcW w:w="1458" w:type="dxa"/>
            <w:vMerge/>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香河县劳动关系调解中心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100201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劳动与社会保障、人力资源管理、会计学、会计、财会、财务管理、审计学、审计</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vAlign w:val="center"/>
          </w:tcPr>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香河县工伤保险中心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100301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计算机科学与技术、会计学、会计、财会、财务管理、审计学、审计</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城市管理综合行政执法局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城区执法    十二队</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110101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lastRenderedPageBreak/>
              <w:t>退役军人</w:t>
            </w: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事务局</w:t>
            </w: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退役军人服务中心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120101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住房和城乡</w:t>
            </w: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建设局</w:t>
            </w: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市政所</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自收自支</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130101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建筑类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val="restart"/>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自然资源和</w:t>
            </w:r>
          </w:p>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规划局</w:t>
            </w:r>
          </w:p>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林业服务中心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140101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林学类、农林经济管理、林业经济管理</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不动产登记  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140201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ign w:val="center"/>
          </w:tcPr>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经开区自然资源和规划所</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140301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测绘类、土地资源管理、城乡规划学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农业农村局</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动物防疫站</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自收自支</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5</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150101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食品工程类、动物医学类、生物医学工程类、计算机类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农业技术推广中心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3</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150201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植物生产类、自然保护与环境生态类、动物医学类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41"/>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农业特色产业中心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4</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150301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金融学类、财政学类、工商管理类、管理科学与工程类、法学类、新闻传播学类、设计学类、农村经济与管理类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424"/>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行政审批局</w:t>
            </w:r>
          </w:p>
        </w:tc>
        <w:tc>
          <w:tcPr>
            <w:tcW w:w="1676"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项目服务中心</w:t>
            </w:r>
          </w:p>
        </w:tc>
        <w:tc>
          <w:tcPr>
            <w:tcW w:w="1240"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160101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汉语言文学、汉语言、应用语言学、中国语言文化、中国语言文学、中文应用、中文、文秘、文秘学、秘书学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90"/>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160102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789"/>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lastRenderedPageBreak/>
              <w:t>卫健局</w:t>
            </w:r>
          </w:p>
        </w:tc>
        <w:tc>
          <w:tcPr>
            <w:tcW w:w="1676"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卫生院</w:t>
            </w:r>
          </w:p>
        </w:tc>
        <w:tc>
          <w:tcPr>
            <w:tcW w:w="1240"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自收自支</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10</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医学类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170101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事业专技</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临床医学类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w:t>
            </w:r>
          </w:p>
        </w:tc>
      </w:tr>
      <w:tr w:rsidR="004E483D" w:rsidTr="00EC5222">
        <w:trPr>
          <w:cantSplit/>
          <w:trHeight w:val="762"/>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医学类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170102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事业专技</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护理学类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w:t>
            </w:r>
          </w:p>
        </w:tc>
      </w:tr>
      <w:tr w:rsidR="004E483D" w:rsidTr="00EC5222">
        <w:trPr>
          <w:cantSplit/>
          <w:trHeight w:val="793"/>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4</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医学类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170103</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事业专技</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中医学类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842"/>
        </w:trPr>
        <w:tc>
          <w:tcPr>
            <w:tcW w:w="1458" w:type="dxa"/>
            <w:vMerge w:val="restart"/>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北运河、潮白河香河段事务中心</w:t>
            </w:r>
          </w:p>
        </w:tc>
        <w:tc>
          <w:tcPr>
            <w:tcW w:w="1676" w:type="dxa"/>
            <w:vMerge w:val="restart"/>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北运河、潮白河香河段事务中心</w:t>
            </w:r>
          </w:p>
        </w:tc>
        <w:tc>
          <w:tcPr>
            <w:tcW w:w="1240"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180101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环境设计、艺术设计学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842"/>
        </w:trPr>
        <w:tc>
          <w:tcPr>
            <w:tcW w:w="1458" w:type="dxa"/>
            <w:vMerge/>
            <w:vAlign w:val="center"/>
          </w:tcPr>
          <w:p w:rsidR="004E483D" w:rsidRDefault="004E483D" w:rsidP="00EC5222">
            <w:pPr>
              <w:jc w:val="center"/>
              <w:rPr>
                <w:rFonts w:ascii="仿宋" w:eastAsia="仿宋" w:hAnsi="仿宋" w:cs="仿宋" w:hint="eastAsia"/>
                <w:color w:val="000000"/>
                <w:sz w:val="22"/>
                <w:szCs w:val="22"/>
              </w:rPr>
            </w:pPr>
          </w:p>
        </w:tc>
        <w:tc>
          <w:tcPr>
            <w:tcW w:w="1676" w:type="dxa"/>
            <w:vMerge/>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180102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旅游管理、历史学类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908"/>
        </w:trPr>
        <w:tc>
          <w:tcPr>
            <w:tcW w:w="1458" w:type="dxa"/>
            <w:vMerge/>
            <w:vAlign w:val="center"/>
          </w:tcPr>
          <w:p w:rsidR="004E483D" w:rsidRDefault="004E483D" w:rsidP="00EC5222">
            <w:pPr>
              <w:jc w:val="center"/>
              <w:rPr>
                <w:rFonts w:ascii="仿宋" w:eastAsia="仿宋" w:hAnsi="仿宋" w:cs="仿宋" w:hint="eastAsia"/>
                <w:color w:val="000000"/>
                <w:sz w:val="22"/>
                <w:szCs w:val="22"/>
              </w:rPr>
            </w:pPr>
          </w:p>
        </w:tc>
        <w:tc>
          <w:tcPr>
            <w:tcW w:w="1676" w:type="dxa"/>
            <w:vMerge/>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180103</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 xml:space="preserve">计算机类、会计学、会计、财会、财务会计、 财务管理 </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lastRenderedPageBreak/>
              <w:t>淑阳镇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党建工作办公室</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190101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网络与新媒体、交叉类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2544"/>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val="restart"/>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行政综合服务中心</w:t>
            </w:r>
          </w:p>
        </w:tc>
        <w:tc>
          <w:tcPr>
            <w:tcW w:w="1240"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190201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新闻学、汉语言文学、汉语言、应用语言学、中国语言文化、中国语言文学、中文应用、中文、文秘、文秘学、秘书学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1126"/>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190202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计算机科学与技术、设计学类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578"/>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安平镇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综合行政执法队</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200101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公共管理类、法学类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1424"/>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行政综合服务中心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200201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汉语言文学、汉语言、应用语言学、中国语言文化、中国语言文学、中文应用、中文、文秘、文秘学、秘书学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钳屯镇</w:t>
            </w:r>
          </w:p>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vMerge w:val="restart"/>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kern w:val="0"/>
                <w:sz w:val="22"/>
                <w:szCs w:val="22"/>
                <w:lang/>
              </w:rPr>
            </w:pPr>
            <w:r>
              <w:rPr>
                <w:rFonts w:ascii="仿宋" w:eastAsia="仿宋" w:hAnsi="仿宋" w:cs="仿宋" w:hint="eastAsia"/>
                <w:color w:val="000000"/>
                <w:kern w:val="0"/>
                <w:sz w:val="22"/>
                <w:szCs w:val="22"/>
                <w:lang/>
              </w:rPr>
              <w:t>综合行政执法队</w:t>
            </w:r>
          </w:p>
          <w:p w:rsidR="004E483D" w:rsidRDefault="004E483D" w:rsidP="00EC5222">
            <w:pPr>
              <w:widowControl/>
              <w:jc w:val="center"/>
              <w:textAlignment w:val="center"/>
              <w:rPr>
                <w:rFonts w:ascii="仿宋" w:eastAsia="仿宋" w:hAnsi="仿宋" w:cs="仿宋" w:hint="eastAsia"/>
                <w:color w:val="000000"/>
                <w:sz w:val="22"/>
                <w:szCs w:val="22"/>
              </w:rPr>
            </w:pP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210101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210102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会计学、会计、财会、财务会计、财务管理</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五百户镇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综合行政执法队</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220101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733"/>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行政综合服务中心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220201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1469"/>
        </w:trPr>
        <w:tc>
          <w:tcPr>
            <w:tcW w:w="145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lastRenderedPageBreak/>
              <w:t>蒋辛屯镇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综合行政执法队</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230101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不限专业</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大学本科及以上学历、学士及以上学位，限廊坊市户籍。</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安头屯镇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行政综合服务中心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240101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新闻传播学类、交叉类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1126"/>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综合行政执法队</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240201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法学类、环境科学与工程类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126"/>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渠口镇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应急管理办公室</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250101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环境科学与工程类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858"/>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行政综合服务中心</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250201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894"/>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综合文化服务站</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250301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音乐与舞蹈类、戏剧与影视学类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915"/>
        </w:trPr>
        <w:tc>
          <w:tcPr>
            <w:tcW w:w="145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刘宋镇</w:t>
            </w:r>
          </w:p>
        </w:tc>
        <w:tc>
          <w:tcPr>
            <w:tcW w:w="1676" w:type="dxa"/>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综合行政执法队</w:t>
            </w:r>
          </w:p>
        </w:tc>
        <w:tc>
          <w:tcPr>
            <w:tcW w:w="1240"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3</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260101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会计学、会计、财会、财务会计、财务管理</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828"/>
        </w:trPr>
        <w:tc>
          <w:tcPr>
            <w:tcW w:w="1458"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钱旺镇</w:t>
            </w:r>
          </w:p>
        </w:tc>
        <w:tc>
          <w:tcPr>
            <w:tcW w:w="1676" w:type="dxa"/>
            <w:vMerge w:val="restart"/>
            <w:noWrap/>
            <w:vAlign w:val="center"/>
          </w:tcPr>
          <w:p w:rsidR="004E483D" w:rsidRDefault="004E483D" w:rsidP="00EC5222">
            <w:pPr>
              <w:widowControl/>
              <w:jc w:val="center"/>
              <w:textAlignment w:val="center"/>
              <w:rPr>
                <w:rFonts w:ascii="仿宋" w:eastAsia="仿宋" w:hAnsi="仿宋" w:cs="仿宋" w:hint="eastAsia"/>
                <w:color w:val="000000"/>
                <w:kern w:val="0"/>
                <w:sz w:val="22"/>
                <w:szCs w:val="22"/>
                <w:lang/>
              </w:rPr>
            </w:pPr>
          </w:p>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综合行政执法队</w:t>
            </w:r>
          </w:p>
        </w:tc>
        <w:tc>
          <w:tcPr>
            <w:tcW w:w="1240" w:type="dxa"/>
            <w:vMerge w:val="restart"/>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全额事业</w:t>
            </w: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270101</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法学类</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大学本科及以上学历、学士及以上学位，限高校毕业生报考。</w:t>
            </w:r>
          </w:p>
        </w:tc>
      </w:tr>
      <w:tr w:rsidR="004E483D" w:rsidTr="00EC5222">
        <w:trPr>
          <w:cantSplit/>
          <w:trHeight w:val="1424"/>
        </w:trPr>
        <w:tc>
          <w:tcPr>
            <w:tcW w:w="1458"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676"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1240" w:type="dxa"/>
            <w:vMerge/>
            <w:noWrap/>
            <w:vAlign w:val="center"/>
          </w:tcPr>
          <w:p w:rsidR="004E483D" w:rsidRDefault="004E483D" w:rsidP="00EC5222">
            <w:pPr>
              <w:jc w:val="center"/>
              <w:rPr>
                <w:rFonts w:ascii="仿宋" w:eastAsia="仿宋" w:hAnsi="仿宋" w:cs="仿宋" w:hint="eastAsia"/>
                <w:color w:val="000000"/>
                <w:sz w:val="22"/>
                <w:szCs w:val="22"/>
              </w:rPr>
            </w:pPr>
          </w:p>
        </w:tc>
        <w:tc>
          <w:tcPr>
            <w:tcW w:w="635"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1</w:t>
            </w:r>
          </w:p>
        </w:tc>
        <w:tc>
          <w:tcPr>
            <w:tcW w:w="418"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综合类</w:t>
            </w:r>
          </w:p>
        </w:tc>
        <w:tc>
          <w:tcPr>
            <w:tcW w:w="102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270102</w:t>
            </w:r>
          </w:p>
        </w:tc>
        <w:tc>
          <w:tcPr>
            <w:tcW w:w="1214" w:type="dxa"/>
            <w:noWrap/>
            <w:vAlign w:val="center"/>
          </w:tcPr>
          <w:p w:rsidR="004E483D" w:rsidRDefault="004E483D" w:rsidP="00EC5222">
            <w:pPr>
              <w:widowControl/>
              <w:jc w:val="center"/>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事业管理</w:t>
            </w:r>
          </w:p>
        </w:tc>
        <w:tc>
          <w:tcPr>
            <w:tcW w:w="2017"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汉语言文学、汉语言、应用语言学、中国语言文化、中国语言文学、中文应用、中文、文秘、文秘学、秘书学</w:t>
            </w:r>
          </w:p>
        </w:tc>
        <w:tc>
          <w:tcPr>
            <w:tcW w:w="3255" w:type="dxa"/>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限国家基层服务项目期满人员和服务北京冬奥、冬残奥会的2022年应届毕业生报考。大学本科及以上学历。</w:t>
            </w:r>
          </w:p>
        </w:tc>
      </w:tr>
      <w:tr w:rsidR="004E483D" w:rsidTr="00EC5222">
        <w:trPr>
          <w:cantSplit/>
          <w:trHeight w:val="1143"/>
        </w:trPr>
        <w:tc>
          <w:tcPr>
            <w:tcW w:w="12937" w:type="dxa"/>
            <w:gridSpan w:val="9"/>
            <w:noWrap/>
            <w:vAlign w:val="center"/>
          </w:tcPr>
          <w:p w:rsidR="004E483D" w:rsidRDefault="004E483D" w:rsidP="00EC5222">
            <w:pPr>
              <w:widowControl/>
              <w:jc w:val="left"/>
              <w:textAlignment w:val="center"/>
              <w:rPr>
                <w:rFonts w:ascii="仿宋" w:eastAsia="仿宋" w:hAnsi="仿宋" w:cs="仿宋" w:hint="eastAsia"/>
                <w:color w:val="000000"/>
                <w:sz w:val="22"/>
                <w:szCs w:val="22"/>
              </w:rPr>
            </w:pPr>
            <w:r>
              <w:rPr>
                <w:rFonts w:ascii="仿宋" w:eastAsia="仿宋" w:hAnsi="仿宋" w:cs="仿宋" w:hint="eastAsia"/>
                <w:color w:val="000000"/>
                <w:kern w:val="0"/>
                <w:sz w:val="22"/>
                <w:szCs w:val="22"/>
                <w:lang/>
              </w:rPr>
              <w:t>“高校毕业生”的指定对象见《香河县政府系统事业单位2022年公开招聘工作人员实施方案》第三条：“招聘对象和条件”第（二）款。</w:t>
            </w:r>
          </w:p>
        </w:tc>
      </w:tr>
    </w:tbl>
    <w:p w:rsidR="006B3D78" w:rsidRPr="004E483D" w:rsidRDefault="006B3D78"/>
    <w:sectPr w:rsidR="006B3D78" w:rsidRPr="004E483D" w:rsidSect="004E483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483D"/>
    <w:rsid w:val="004E483D"/>
    <w:rsid w:val="006B3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4E48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4E483D"/>
    <w:pPr>
      <w:ind w:leftChars="800" w:left="800"/>
    </w:pPr>
  </w:style>
  <w:style w:type="paragraph" w:customStyle="1" w:styleId="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w:basedOn w:val="a"/>
    <w:qFormat/>
    <w:rsid w:val="004E483D"/>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sunny</cp:lastModifiedBy>
  <cp:revision>1</cp:revision>
  <dcterms:created xsi:type="dcterms:W3CDTF">2022-08-05T12:25:00Z</dcterms:created>
  <dcterms:modified xsi:type="dcterms:W3CDTF">2022-08-05T12:26:00Z</dcterms:modified>
</cp:coreProperties>
</file>