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 w:hAnsi="仿宋" w:eastAsia="仿宋" w:cs="Helvetica"/>
          <w:b/>
          <w:color w:val="333333"/>
          <w:sz w:val="32"/>
          <w:szCs w:val="32"/>
          <w:lang w:val="en-US" w:eastAsia="zh-CN"/>
        </w:rPr>
      </w:pPr>
      <w:r>
        <w:rPr>
          <w:rFonts w:hint="eastAsia" w:ascii="仿宋" w:hAnsi="仿宋" w:eastAsia="仿宋" w:cs="Helvetica"/>
          <w:b/>
          <w:color w:val="333333"/>
          <w:sz w:val="32"/>
          <w:szCs w:val="32"/>
          <w:lang w:val="en-US" w:eastAsia="zh-CN"/>
        </w:rPr>
        <w:t>附件3</w:t>
      </w:r>
    </w:p>
    <w:p>
      <w:pPr>
        <w:jc w:val="center"/>
        <w:rPr>
          <w:rFonts w:hint="eastAsia" w:ascii="仿宋" w:hAnsi="仿宋" w:eastAsia="仿宋" w:cs="Helvetica"/>
          <w:color w:val="333333"/>
          <w:sz w:val="32"/>
          <w:szCs w:val="32"/>
        </w:rPr>
      </w:pPr>
      <w:bookmarkStart w:id="0" w:name="_GoBack"/>
      <w:r>
        <w:rPr>
          <w:rFonts w:hint="eastAsia" w:ascii="仿宋" w:hAnsi="仿宋" w:eastAsia="仿宋" w:cs="Helvetica"/>
          <w:b/>
          <w:color w:val="333333"/>
          <w:sz w:val="44"/>
          <w:szCs w:val="44"/>
        </w:rPr>
        <w:t>考试范围（包括但不限于以下规范、文件）</w:t>
      </w:r>
    </w:p>
    <w:bookmarkEnd w:id="0"/>
    <w:p>
      <w:pPr>
        <w:rPr>
          <w:rFonts w:hint="eastAsia" w:ascii="仿宋" w:hAnsi="仿宋" w:eastAsia="仿宋" w:cs="Helvetica"/>
          <w:color w:val="333333"/>
          <w:sz w:val="32"/>
          <w:szCs w:val="32"/>
        </w:rPr>
      </w:pPr>
      <w:r>
        <w:rPr>
          <w:rFonts w:hint="eastAsia" w:ascii="仿宋" w:hAnsi="仿宋" w:eastAsia="仿宋" w:cs="Helvetica"/>
          <w:color w:val="333333"/>
          <w:sz w:val="32"/>
          <w:szCs w:val="32"/>
        </w:rPr>
        <w:t>1、</w:t>
      </w:r>
      <w:r>
        <w:rPr>
          <w:rFonts w:ascii="仿宋" w:hAnsi="仿宋" w:eastAsia="仿宋" w:cs="Helvetica"/>
          <w:color w:val="333333"/>
          <w:sz w:val="32"/>
          <w:szCs w:val="32"/>
        </w:rPr>
        <w:t>《施工现场临时用电安全技术规范》（JGJ 46-2005）</w:t>
      </w:r>
    </w:p>
    <w:p>
      <w:pPr>
        <w:rPr>
          <w:rFonts w:hint="eastAsia" w:ascii="仿宋" w:hAnsi="仿宋" w:eastAsia="仿宋" w:cs="Helvetica"/>
          <w:color w:val="333333"/>
          <w:sz w:val="32"/>
          <w:szCs w:val="32"/>
        </w:rPr>
      </w:pPr>
      <w:r>
        <w:rPr>
          <w:rFonts w:hint="eastAsia" w:ascii="仿宋" w:hAnsi="仿宋" w:eastAsia="仿宋" w:cs="Helvetica"/>
          <w:color w:val="333333"/>
          <w:sz w:val="32"/>
          <w:szCs w:val="32"/>
        </w:rPr>
        <w:t>2、</w:t>
      </w:r>
      <w:r>
        <w:rPr>
          <w:rFonts w:ascii="仿宋" w:hAnsi="仿宋" w:eastAsia="仿宋" w:cs="Helvetica"/>
          <w:color w:val="333333"/>
          <w:sz w:val="32"/>
          <w:szCs w:val="32"/>
        </w:rPr>
        <w:t>《施工脚手架通用规范》（GB 55023-2022）</w:t>
      </w:r>
    </w:p>
    <w:p>
      <w:pPr>
        <w:rPr>
          <w:rFonts w:hint="eastAsia" w:ascii="仿宋" w:hAnsi="仿宋" w:eastAsia="仿宋" w:cs="Helvetica"/>
          <w:color w:val="333333"/>
          <w:sz w:val="32"/>
          <w:szCs w:val="32"/>
        </w:rPr>
      </w:pPr>
      <w:r>
        <w:rPr>
          <w:rFonts w:hint="eastAsia" w:ascii="仿宋" w:hAnsi="仿宋" w:eastAsia="仿宋" w:cs="Helvetica"/>
          <w:color w:val="333333"/>
          <w:sz w:val="32"/>
          <w:szCs w:val="32"/>
        </w:rPr>
        <w:t>3、</w:t>
      </w:r>
      <w:r>
        <w:rPr>
          <w:rFonts w:ascii="仿宋" w:hAnsi="仿宋" w:eastAsia="仿宋" w:cs="Helvetica"/>
          <w:color w:val="333333"/>
          <w:sz w:val="32"/>
          <w:szCs w:val="32"/>
        </w:rPr>
        <w:t>《建筑施工高处作业安全技术规范》（JGJ 80-2016）</w:t>
      </w:r>
    </w:p>
    <w:p>
      <w:pPr>
        <w:rPr>
          <w:rFonts w:hint="eastAsia" w:ascii="仿宋" w:hAnsi="仿宋" w:eastAsia="仿宋"/>
          <w:color w:val="000000"/>
          <w:sz w:val="32"/>
          <w:szCs w:val="32"/>
        </w:rPr>
      </w:pPr>
      <w:r>
        <w:rPr>
          <w:rFonts w:hint="eastAsia" w:ascii="仿宋" w:hAnsi="仿宋" w:eastAsia="仿宋"/>
          <w:color w:val="000000"/>
          <w:sz w:val="32"/>
          <w:szCs w:val="32"/>
        </w:rPr>
        <w:t>4、《宣城市住房和城乡建设局关于进一步加强建筑施工领域模板脚手架安全管理的通知》（建管函〔2021〕320号）</w:t>
      </w:r>
    </w:p>
    <w:p>
      <w:pPr>
        <w:rPr>
          <w:rFonts w:hint="eastAsia" w:ascii="仿宋" w:hAnsi="仿宋" w:eastAsia="仿宋"/>
          <w:color w:val="000000"/>
          <w:sz w:val="32"/>
          <w:szCs w:val="32"/>
        </w:rPr>
      </w:pPr>
      <w:r>
        <w:rPr>
          <w:rFonts w:hint="eastAsia" w:ascii="仿宋" w:hAnsi="仿宋" w:eastAsia="仿宋"/>
          <w:color w:val="000000"/>
          <w:sz w:val="32"/>
          <w:szCs w:val="32"/>
        </w:rPr>
        <w:t>5、《房屋建筑和市政基础设施工程施工安全监督工作规程》（建质[2014]154）</w:t>
      </w:r>
    </w:p>
    <w:p>
      <w:pPr>
        <w:rPr>
          <w:rFonts w:hint="eastAsia" w:ascii="仿宋" w:hAnsi="仿宋" w:eastAsia="仿宋"/>
          <w:color w:val="000000"/>
          <w:sz w:val="32"/>
          <w:szCs w:val="32"/>
        </w:rPr>
      </w:pPr>
      <w:r>
        <w:rPr>
          <w:rFonts w:hint="eastAsia" w:ascii="仿宋" w:hAnsi="仿宋" w:eastAsia="仿宋"/>
          <w:color w:val="000000"/>
          <w:sz w:val="32"/>
          <w:szCs w:val="32"/>
        </w:rPr>
        <w:t>6、《房屋建筑和市政基础设施工程施工安全监督规定》（建质[2014]153）</w:t>
      </w:r>
    </w:p>
    <w:p>
      <w:pPr>
        <w:rPr>
          <w:rFonts w:hint="eastAsia" w:ascii="仿宋" w:hAnsi="仿宋" w:eastAsia="仿宋" w:cs="Arial"/>
          <w:b/>
          <w:color w:val="333333"/>
          <w:sz w:val="32"/>
          <w:szCs w:val="32"/>
        </w:rPr>
      </w:pPr>
      <w:r>
        <w:rPr>
          <w:rFonts w:hint="eastAsia" w:ascii="仿宋" w:hAnsi="仿宋" w:eastAsia="仿宋" w:cs="Arial"/>
          <w:b/>
          <w:color w:val="333333"/>
          <w:sz w:val="32"/>
          <w:szCs w:val="32"/>
        </w:rPr>
        <w:t>7、《宣城市建筑施工安全生产标准化示范工地（小区）评审办法》（建管〔2018〕282号文）</w:t>
      </w:r>
    </w:p>
    <w:p>
      <w:pPr>
        <w:rPr>
          <w:rFonts w:hint="eastAsia" w:ascii="仿宋" w:hAnsi="仿宋" w:eastAsia="仿宋" w:cs="Arial"/>
          <w:color w:val="333333"/>
          <w:sz w:val="32"/>
          <w:szCs w:val="32"/>
        </w:rPr>
      </w:pPr>
      <w:r>
        <w:rPr>
          <w:rFonts w:hint="eastAsia" w:ascii="仿宋" w:hAnsi="仿宋" w:eastAsia="仿宋" w:cs="Helvetica"/>
          <w:color w:val="333333"/>
          <w:sz w:val="32"/>
          <w:szCs w:val="32"/>
        </w:rPr>
        <w:t>8、</w:t>
      </w:r>
      <w:r>
        <w:rPr>
          <w:rFonts w:ascii="仿宋" w:hAnsi="仿宋" w:eastAsia="仿宋" w:cs="Arial"/>
          <w:color w:val="333333"/>
          <w:sz w:val="32"/>
          <w:szCs w:val="32"/>
        </w:rPr>
        <w:t>《混凝土结构工程施工质量验收规范》 （GB50</w:t>
      </w:r>
      <w:r>
        <w:rPr>
          <w:rFonts w:hint="eastAsia" w:ascii="仿宋" w:hAnsi="仿宋" w:eastAsia="仿宋" w:cs="Arial"/>
          <w:color w:val="333333"/>
          <w:sz w:val="32"/>
          <w:szCs w:val="32"/>
        </w:rPr>
        <w:t>204</w:t>
      </w:r>
      <w:r>
        <w:rPr>
          <w:rFonts w:ascii="仿宋" w:hAnsi="仿宋" w:eastAsia="仿宋" w:cs="Arial"/>
          <w:color w:val="333333"/>
          <w:sz w:val="32"/>
          <w:szCs w:val="32"/>
        </w:rPr>
        <w:t>-201</w:t>
      </w:r>
      <w:r>
        <w:rPr>
          <w:rFonts w:hint="eastAsia" w:ascii="仿宋" w:hAnsi="仿宋" w:eastAsia="仿宋" w:cs="Arial"/>
          <w:color w:val="333333"/>
          <w:sz w:val="32"/>
          <w:szCs w:val="32"/>
        </w:rPr>
        <w:t>5）</w:t>
      </w:r>
    </w:p>
    <w:p>
      <w:pPr>
        <w:rPr>
          <w:rFonts w:hint="eastAsia" w:ascii="仿宋" w:hAnsi="仿宋" w:eastAsia="仿宋" w:cs="Arial"/>
          <w:color w:val="333333"/>
          <w:sz w:val="32"/>
          <w:szCs w:val="32"/>
        </w:rPr>
      </w:pPr>
      <w:r>
        <w:rPr>
          <w:rFonts w:hint="eastAsia" w:ascii="仿宋" w:hAnsi="仿宋" w:eastAsia="仿宋" w:cs="Arial"/>
          <w:color w:val="333333"/>
          <w:sz w:val="32"/>
          <w:szCs w:val="32"/>
        </w:rPr>
        <w:t>9、</w:t>
      </w:r>
      <w:r>
        <w:rPr>
          <w:rFonts w:ascii="仿宋" w:hAnsi="仿宋" w:eastAsia="仿宋" w:cs="Arial"/>
          <w:color w:val="333333"/>
          <w:sz w:val="32"/>
          <w:szCs w:val="32"/>
        </w:rPr>
        <w:t>《宣城市住宅工程质量通病防治实施规定》（</w:t>
      </w:r>
      <w:r>
        <w:rPr>
          <w:rFonts w:hint="eastAsia" w:ascii="Arial" w:hAnsi="Arial" w:eastAsia="仿宋" w:cs="Arial"/>
          <w:color w:val="333333"/>
          <w:sz w:val="32"/>
          <w:szCs w:val="32"/>
        </w:rPr>
        <w:t>  </w:t>
      </w:r>
      <w:r>
        <w:rPr>
          <w:rFonts w:hint="eastAsia" w:ascii="仿宋" w:hAnsi="仿宋" w:eastAsia="仿宋" w:cs="Arial"/>
          <w:color w:val="333333"/>
          <w:sz w:val="32"/>
          <w:szCs w:val="32"/>
        </w:rPr>
        <w:t>2010年11月23日</w:t>
      </w:r>
      <w:r>
        <w:rPr>
          <w:rFonts w:ascii="仿宋" w:hAnsi="仿宋" w:eastAsia="仿宋" w:cs="Arial"/>
          <w:color w:val="333333"/>
          <w:sz w:val="32"/>
          <w:szCs w:val="32"/>
        </w:rPr>
        <w:t>）</w:t>
      </w:r>
    </w:p>
    <w:p>
      <w:pPr>
        <w:rPr>
          <w:rFonts w:hint="eastAsia" w:ascii="仿宋" w:hAnsi="仿宋" w:eastAsia="仿宋"/>
          <w:color w:val="000000"/>
          <w:sz w:val="32"/>
          <w:szCs w:val="32"/>
        </w:rPr>
      </w:pPr>
      <w:r>
        <w:rPr>
          <w:rFonts w:hint="eastAsia" w:ascii="仿宋" w:hAnsi="仿宋" w:eastAsia="仿宋" w:cs="Arial"/>
          <w:color w:val="333333"/>
          <w:sz w:val="32"/>
          <w:szCs w:val="32"/>
        </w:rPr>
        <w:t>10、</w:t>
      </w:r>
      <w:r>
        <w:rPr>
          <w:rFonts w:hint="eastAsia" w:ascii="仿宋" w:hAnsi="仿宋" w:eastAsia="仿宋"/>
          <w:color w:val="000000"/>
          <w:sz w:val="32"/>
          <w:szCs w:val="32"/>
        </w:rPr>
        <w:t>《钢结构工程施工质量验收规范》（</w:t>
      </w:r>
      <w:r>
        <w:rPr>
          <w:rFonts w:ascii="仿宋" w:hAnsi="仿宋" w:eastAsia="仿宋" w:cs="Arial"/>
          <w:color w:val="333333"/>
          <w:sz w:val="32"/>
          <w:szCs w:val="32"/>
        </w:rPr>
        <w:t>GB50205-2020</w:t>
      </w:r>
      <w:r>
        <w:rPr>
          <w:rFonts w:hint="eastAsia" w:ascii="仿宋" w:hAnsi="仿宋" w:eastAsia="仿宋"/>
          <w:color w:val="000000"/>
          <w:sz w:val="32"/>
          <w:szCs w:val="32"/>
        </w:rPr>
        <w:t>）</w:t>
      </w:r>
    </w:p>
    <w:p>
      <w:pPr>
        <w:rPr>
          <w:rFonts w:hint="eastAsia" w:ascii="仿宋" w:hAnsi="仿宋" w:eastAsia="仿宋"/>
          <w:b/>
          <w:color w:val="000000"/>
          <w:sz w:val="32"/>
          <w:szCs w:val="32"/>
        </w:rPr>
      </w:pPr>
      <w:r>
        <w:rPr>
          <w:rFonts w:hint="eastAsia" w:ascii="仿宋" w:hAnsi="仿宋" w:eastAsia="仿宋"/>
          <w:b/>
          <w:color w:val="000000"/>
          <w:sz w:val="32"/>
          <w:szCs w:val="32"/>
        </w:rPr>
        <w:t>11、《中华人民共和国城乡规划法》</w:t>
      </w:r>
    </w:p>
    <w:p>
      <w:pPr>
        <w:rPr>
          <w:rFonts w:hint="eastAsia" w:ascii="仿宋" w:hAnsi="仿宋" w:eastAsia="仿宋"/>
          <w:b/>
          <w:color w:val="000000"/>
          <w:sz w:val="32"/>
          <w:szCs w:val="32"/>
        </w:rPr>
      </w:pPr>
      <w:r>
        <w:rPr>
          <w:rFonts w:hint="eastAsia" w:ascii="仿宋" w:hAnsi="仿宋" w:eastAsia="仿宋"/>
          <w:b/>
          <w:color w:val="000000"/>
          <w:sz w:val="32"/>
          <w:szCs w:val="32"/>
        </w:rPr>
        <w:t>12、《中华人民共和国土地管理法》</w:t>
      </w:r>
    </w:p>
    <w:p>
      <w:pPr>
        <w:rPr>
          <w:rFonts w:hint="eastAsia" w:ascii="仿宋" w:hAnsi="仿宋" w:eastAsia="仿宋"/>
          <w:b/>
          <w:color w:val="000000"/>
          <w:sz w:val="32"/>
          <w:szCs w:val="32"/>
        </w:rPr>
      </w:pPr>
      <w:r>
        <w:rPr>
          <w:rFonts w:hint="eastAsia" w:ascii="仿宋" w:hAnsi="仿宋" w:eastAsia="仿宋"/>
          <w:b/>
          <w:color w:val="000000"/>
          <w:sz w:val="32"/>
          <w:szCs w:val="32"/>
        </w:rPr>
        <w:t>13、《自然资源部关于以“多规合一”为基础推进规划用地“多审合一、多证合一”改革的通知》</w:t>
      </w:r>
    </w:p>
    <w:p>
      <w:pPr>
        <w:rPr>
          <w:rFonts w:hint="eastAsia" w:ascii="仿宋" w:hAnsi="仿宋" w:eastAsia="仿宋"/>
          <w:color w:val="000000"/>
          <w:sz w:val="32"/>
          <w:szCs w:val="32"/>
        </w:rPr>
      </w:pPr>
      <w:r>
        <w:rPr>
          <w:rFonts w:hint="eastAsia" w:ascii="仿宋" w:hAnsi="仿宋" w:eastAsia="仿宋"/>
          <w:color w:val="000000"/>
          <w:sz w:val="32"/>
          <w:szCs w:val="32"/>
        </w:rPr>
        <w:t>14、其他建筑类、规划类相关规范、标准</w:t>
      </w:r>
    </w:p>
    <w:p/>
    <w:sectPr>
      <w:pgSz w:w="11906" w:h="16838"/>
      <w:pgMar w:top="1440" w:right="1463" w:bottom="127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ZjJkZjhmN2FjZGEyZDMwYzUzN2EzN2YyNTc3YTUifQ=="/>
  </w:docVars>
  <w:rsids>
    <w:rsidRoot w:val="3D2F70EC"/>
    <w:rsid w:val="3D2F7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2022-08-11T07:03:00Z</dcterms:created>
  <dc:creator>风追红叶</dc:creator>
  <cp:lastModifiedBy>风追红叶</cp:lastModifiedBy>
  <dcterms:modified xsi:type="dcterms:W3CDTF">2022-08-11T07:04:02Z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4C76A1C6B8284B51BE1183F491B566ED</vt:lpwstr>
  </property>
</Properties>
</file>