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0" w:lineRule="atLeast"/>
        <w:jc w:val="left"/>
        <w:rPr>
          <w:rFonts w:ascii="方正小标宋简体" w:hAnsi="仿宋" w:eastAsia="方正小标宋简体" w:cs="仿宋"/>
          <w:bCs/>
          <w:kern w:val="0"/>
          <w:sz w:val="40"/>
          <w:szCs w:val="40"/>
        </w:rPr>
      </w:pPr>
      <w:r>
        <w:rPr>
          <w:rFonts w:hint="eastAsia" w:ascii="方正小标宋简体" w:hAnsi="仿宋" w:eastAsia="方正小标宋简体" w:cs="仿宋"/>
          <w:bCs/>
          <w:kern w:val="0"/>
          <w:sz w:val="22"/>
          <w:szCs w:val="22"/>
        </w:rPr>
        <w:t xml:space="preserve">附件1                    </w:t>
      </w:r>
      <w:r>
        <w:rPr>
          <w:rFonts w:hint="eastAsia" w:ascii="方正小标宋简体" w:hAnsi="仿宋" w:eastAsia="方正小标宋简体" w:cs="仿宋"/>
          <w:bCs/>
          <w:kern w:val="0"/>
          <w:sz w:val="40"/>
          <w:szCs w:val="40"/>
        </w:rPr>
        <w:t xml:space="preserve">  2022年通许县公开招聘教师计划表</w:t>
      </w:r>
    </w:p>
    <w:tbl>
      <w:tblPr>
        <w:tblStyle w:val="5"/>
        <w:tblW w:w="14577" w:type="dxa"/>
        <w:tblInd w:w="-3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849"/>
        <w:gridCol w:w="850"/>
        <w:gridCol w:w="1415"/>
        <w:gridCol w:w="1416"/>
        <w:gridCol w:w="1274"/>
        <w:gridCol w:w="707"/>
        <w:gridCol w:w="1416"/>
        <w:gridCol w:w="47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单 位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学校类型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经费形式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招聘岗位数量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拟招聘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岗位等级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通许县一高</w:t>
            </w:r>
          </w:p>
        </w:tc>
        <w:tc>
          <w:tcPr>
            <w:tcW w:w="8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高中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事业全供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语文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专业技术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初级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全日制本科及以上</w:t>
            </w:r>
          </w:p>
        </w:tc>
        <w:tc>
          <w:tcPr>
            <w:tcW w:w="475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具有高中教师资格证且专业须与所学专业和报考岗位一致，2020、2021、2022年高校毕业生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数学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英语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物理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化学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生物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地理</w:t>
            </w:r>
          </w:p>
        </w:tc>
        <w:tc>
          <w:tcPr>
            <w:tcW w:w="12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政治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历史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体育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心理健康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乡镇小学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小学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事业全供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语文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专业技术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初级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全日制专科及以上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具有小学及以上教师资格证且专业和报考岗位一致，2020、2021、2022年高校毕业生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数学</w:t>
            </w:r>
          </w:p>
        </w:tc>
        <w:tc>
          <w:tcPr>
            <w:tcW w:w="12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具有小学及以上教师资格证且专业和报考岗位一致，2020、2021、2022年高校毕业生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语文</w:t>
            </w:r>
          </w:p>
        </w:tc>
        <w:tc>
          <w:tcPr>
            <w:tcW w:w="12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专业技术</w:t>
            </w:r>
          </w:p>
        </w:tc>
        <w:tc>
          <w:tcPr>
            <w:tcW w:w="70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初级</w:t>
            </w:r>
          </w:p>
        </w:tc>
        <w:tc>
          <w:tcPr>
            <w:tcW w:w="141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全日制专科及以上（具有通许籍的放宽至全日制中等师范及以上学历）</w:t>
            </w:r>
          </w:p>
        </w:tc>
        <w:tc>
          <w:tcPr>
            <w:tcW w:w="47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具有小学及以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上教师资格证且专业和报考岗位一致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数学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美术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体育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音乐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英语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</w:tr>
    </w:tbl>
    <w:p>
      <w:pPr>
        <w:widowControl/>
        <w:spacing w:line="20" w:lineRule="atLeast"/>
        <w:rPr>
          <w:rFonts w:ascii="仿宋_GB2312" w:eastAsia="仿宋_GB2312"/>
          <w:color w:val="000000"/>
          <w:sz w:val="24"/>
        </w:rPr>
      </w:pPr>
    </w:p>
    <w:sectPr>
      <w:pgSz w:w="16838" w:h="11906" w:orient="landscape"/>
      <w:pgMar w:top="907" w:right="1440" w:bottom="73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TFlMjUwMTY1ZjFhMDM3NjQ3YTRhNDhiZGVmYTIifQ=="/>
  </w:docVars>
  <w:rsids>
    <w:rsidRoot w:val="00E03C2D"/>
    <w:rsid w:val="00010D68"/>
    <w:rsid w:val="0004274B"/>
    <w:rsid w:val="00062705"/>
    <w:rsid w:val="00075F92"/>
    <w:rsid w:val="000863F5"/>
    <w:rsid w:val="001D4384"/>
    <w:rsid w:val="001F0827"/>
    <w:rsid w:val="001F0A73"/>
    <w:rsid w:val="00224AA9"/>
    <w:rsid w:val="002620D0"/>
    <w:rsid w:val="003166CF"/>
    <w:rsid w:val="00411205"/>
    <w:rsid w:val="00480902"/>
    <w:rsid w:val="00532A6C"/>
    <w:rsid w:val="0056645B"/>
    <w:rsid w:val="00576DCB"/>
    <w:rsid w:val="005D045D"/>
    <w:rsid w:val="005F0BE7"/>
    <w:rsid w:val="006C067D"/>
    <w:rsid w:val="006E2611"/>
    <w:rsid w:val="00712204"/>
    <w:rsid w:val="00726D53"/>
    <w:rsid w:val="00764F8D"/>
    <w:rsid w:val="007B3776"/>
    <w:rsid w:val="007E0CD7"/>
    <w:rsid w:val="007E3244"/>
    <w:rsid w:val="0081781A"/>
    <w:rsid w:val="00855442"/>
    <w:rsid w:val="009029F1"/>
    <w:rsid w:val="00914F84"/>
    <w:rsid w:val="00944308"/>
    <w:rsid w:val="009B7429"/>
    <w:rsid w:val="00A867B5"/>
    <w:rsid w:val="00B32484"/>
    <w:rsid w:val="00B437D3"/>
    <w:rsid w:val="00B7434F"/>
    <w:rsid w:val="00B93206"/>
    <w:rsid w:val="00CC7D98"/>
    <w:rsid w:val="00CD2EC6"/>
    <w:rsid w:val="00D7243C"/>
    <w:rsid w:val="00DD7716"/>
    <w:rsid w:val="00E03C2D"/>
    <w:rsid w:val="00E24866"/>
    <w:rsid w:val="00E248AE"/>
    <w:rsid w:val="00EF3951"/>
    <w:rsid w:val="00EF3F20"/>
    <w:rsid w:val="00F028AC"/>
    <w:rsid w:val="00F6370A"/>
    <w:rsid w:val="00FA6170"/>
    <w:rsid w:val="07DB3201"/>
    <w:rsid w:val="0F483D4E"/>
    <w:rsid w:val="1E846B53"/>
    <w:rsid w:val="29A2222B"/>
    <w:rsid w:val="2B2859C8"/>
    <w:rsid w:val="34F80FB8"/>
    <w:rsid w:val="5F864EDD"/>
    <w:rsid w:val="63C103BF"/>
    <w:rsid w:val="63CC1577"/>
    <w:rsid w:val="720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uiPriority w:val="0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0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329</Words>
  <Characters>360</Characters>
  <Lines>4</Lines>
  <Paragraphs>1</Paragraphs>
  <TotalTime>85</TotalTime>
  <ScaleCrop>false</ScaleCrop>
  <LinksUpToDate>false</LinksUpToDate>
  <CharactersWithSpaces>383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2018-08-08T16:34:00Z</dcterms:created>
  <dc:creator>skygho</dc:creator>
  <cp:lastModifiedBy>Administrator</cp:lastModifiedBy>
  <cp:lastPrinted>2022-08-29T01:33:23Z</cp:lastPrinted>
  <dcterms:modified xsi:type="dcterms:W3CDTF">2022-08-29T02:44:01Z</dcterms:modified>
  <dc:title>微软用户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416B45AA08BE40DEAD3CFDCDFECE9835</vt:lpwstr>
  </property>
</Properties>
</file>