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widowControl/>
        <w:spacing w:line="520" w:lineRule="exact"/>
        <w:jc w:val="center"/>
        <w:outlineLvl w:val="3"/>
        <w:rPr>
          <w:rFonts w:hint="eastAsia" w:ascii="黑体" w:hAnsi="黑体" w:eastAsia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芜湖市交通运输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局所属事业单位公开招聘</w:t>
      </w:r>
    </w:p>
    <w:p>
      <w:pPr>
        <w:widowControl/>
        <w:spacing w:line="520" w:lineRule="exact"/>
        <w:jc w:val="center"/>
        <w:outlineLvl w:val="3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编外工作人员报名资格</w:t>
      </w:r>
      <w:r>
        <w:rPr>
          <w:rFonts w:hint="eastAsia" w:ascii="黑体" w:hAnsi="黑体" w:eastAsia="黑体"/>
          <w:sz w:val="36"/>
          <w:szCs w:val="36"/>
        </w:rPr>
        <w:t>审查表</w:t>
      </w:r>
    </w:p>
    <w:bookmarkEnd w:id="0"/>
    <w:p>
      <w:pPr>
        <w:spacing w:line="600" w:lineRule="exact"/>
        <w:jc w:val="righ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月  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7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签名: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2.“直系亲属及主要社会关系”包括夫妻关系、直系血亲关系、三代以内旁系血亲和近姻亲。</w:t>
      </w:r>
    </w:p>
    <w:p>
      <w:r>
        <w:rPr>
          <w:rFonts w:hint="eastAsia" w:ascii="黑体" w:eastAsia="黑体"/>
          <w:bCs/>
          <w:color w:val="00000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YjZlZDYwYjM3M2UwNDJlYjAxMWYyNGVjNmUzMDYifQ=="/>
  </w:docVars>
  <w:rsids>
    <w:rsidRoot w:val="3A0C6540"/>
    <w:rsid w:val="3A0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pacing w:line="520" w:lineRule="exact"/>
      <w:ind w:left="798" w:leftChars="380"/>
    </w:pPr>
    <w:rPr>
      <w:rFonts w:hint="eastAsia" w:ascii="仿宋_GB2312" w:hAnsi="Tahoma" w:eastAsia="仿宋_GB2312" w:cs="Times New Roman"/>
      <w:color w:val="000000"/>
      <w:kern w:val="2"/>
      <w:sz w:val="21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2022-09-09T03:42:00Z</dcterms:created>
  <dc:creator>总有刁民想害朕(๑•ั็ω•็ั๑)</dc:creator>
  <cp:lastModifiedBy>总有刁民想害朕(๑•ั็ω•็ั๑)</cp:lastModifiedBy>
  <dcterms:modified xsi:type="dcterms:W3CDTF">2022-09-09T03:43:33Z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7D2AEBA8AA8144EC963108BB01079C4F</vt:lpwstr>
  </property>
</Properties>
</file>