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1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baseline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附件8-1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2339" w:leftChars="314" w:hanging="1680" w:hangingChars="4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广安市邻水县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  <w:lang w:eastAsia="zh-CN"/>
        </w:rPr>
        <w:t>下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半年“小平故里英才计划”引进急需紧缺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2339" w:leftChars="314" w:hanging="1680" w:hangingChars="4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专业人才职位一览表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979" w:leftChars="314" w:hanging="320" w:hangingChars="4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10"/>
          <w:szCs w:val="10"/>
        </w:rPr>
      </w:pPr>
    </w:p>
    <w:tbl>
      <w:tblPr>
        <w:tblStyle w:val="4"/>
        <w:tblW w:w="140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388"/>
        <w:gridCol w:w="1600"/>
        <w:gridCol w:w="1425"/>
        <w:gridCol w:w="3618"/>
        <w:gridCol w:w="969"/>
        <w:gridCol w:w="1553"/>
        <w:gridCol w:w="1665"/>
        <w:gridCol w:w="8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Header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职位编码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归口单位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sz w:val="21"/>
                <w:szCs w:val="21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  <w:t>需求岗位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sz w:val="21"/>
                <w:szCs w:val="21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  <w:t>需求专业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sz w:val="21"/>
                <w:szCs w:val="21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  <w:t>需求人数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其他要求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8101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中共邻水县委宣传部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邻水县融媒体中心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新闻传播学类</w:t>
            </w:r>
            <w:r>
              <w:rPr>
                <w:rFonts w:hint="eastAsia" w:eastAsia="方正仿宋_GBK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中国语言文学类</w:t>
            </w:r>
            <w:r>
              <w:rPr>
                <w:rStyle w:val="6"/>
                <w:rFonts w:hint="eastAsia" w:eastAsia="方正仿宋_GBK" w:cs="Times New Roman"/>
                <w:b w:val="0"/>
                <w:i w:val="0"/>
                <w:strike w:val="0"/>
                <w:dstrike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eastAsia="方正仿宋_GBK"/>
                <w:kern w:val="0"/>
                <w:sz w:val="18"/>
                <w:szCs w:val="18"/>
              </w:rPr>
              <w:t>马克思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主义理论类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yellow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8102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中共邻水县委组织部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邻水县干部人事档案服务中心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法学类、中国语言文学类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“双一流”</w:t>
            </w:r>
            <w:r>
              <w:rPr>
                <w:rFonts w:hint="eastAsia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高校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毕业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8103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邻水县人大常委会办公室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邻水县人大信息服务中心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法学，法律硕士，宪法学与行政法学，民法学，法学理论，法理学，法律史，民商法学，民商法，诉讼法学，经济法学，环境与资源保护法学，中国司法制度，法律逻辑，法律逻辑学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8104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中共邻水县委党校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中共邻水县委党校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专业技术岗位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哲学类、政治学类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8105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邻水县发展和改革局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-SA"/>
              </w:rPr>
              <w:t>邻水县项目服务中心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-SA"/>
              </w:rPr>
              <w:t>专业技术岗位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-SA"/>
              </w:rPr>
              <w:t>经济学类、土木类、建筑类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8106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邻水县财政局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邻水县政府债券项目编审中心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-SA"/>
              </w:rPr>
              <w:t>专业技术岗位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财政学类、经济学类、工商管理类、金融学类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8107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邻水县农业农村局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邻水县农业技术推广站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专业技术岗位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作物栽培学与耕作学、作物遗传育种、</w:t>
            </w: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8108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邻水县农业农村局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hAnsi="Times New Roman" w:eastAsia="方正仿宋_GBK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邻水县经果技术推广所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专业技术</w:t>
            </w: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植物生产类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8109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邻水县住房和城乡建设局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邻水县建设工程质量安全监督站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专业技术岗位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安全科学与工程类、土木类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8110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邻水县人力资源和社会保障局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8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邻水县人力资源服务中心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8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公共管理类、法学类、劳动经济学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8111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邻水县司法局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</w:t>
            </w:r>
            <w:r>
              <w:rPr>
                <w:rStyle w:val="8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val="en-US" w:bidi="ar"/>
              </w:rPr>
              <w:t>公证处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法学类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8112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邻水县经济合作中心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hAnsi="Times New Roman" w:eastAsia="方正仿宋_GBK" w:cs="Times New Roman"/>
                <w:b w:val="0"/>
                <w:i w:val="0"/>
                <w:strike w:val="0"/>
                <w:dstrike w:val="0"/>
                <w:sz w:val="18"/>
                <w:szCs w:val="18"/>
                <w:lang w:eastAsia="zh-CN" w:bidi="ar"/>
              </w:rPr>
              <w:t>邻水县投资促进服务中心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专业技术</w:t>
            </w: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经济学类、经济与贸易类、金融学类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8113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val="en-US"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</w:t>
            </w: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val="en-US" w:bidi="ar"/>
              </w:rPr>
              <w:t>人民政府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邻水县公共资源交易管理服务办公室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财政学类、金融学类、</w:t>
            </w:r>
            <w:r>
              <w:rPr>
                <w:rFonts w:eastAsia="方正仿宋_GBK"/>
                <w:kern w:val="0"/>
                <w:sz w:val="18"/>
                <w:szCs w:val="18"/>
              </w:rPr>
              <w:t>公共管理类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8114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邻水县统计局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邻水县社情民意调查中心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经济学类、统计学类、数学类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8115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广安高新技术产业园区管理委员会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四川湘邻科技有限公司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机械制造及</w:t>
            </w:r>
            <w:bookmarkStart w:id="0" w:name="_GoBack"/>
            <w:bookmarkEnd w:id="0"/>
            <w:r>
              <w:rPr>
                <w:rFonts w:eastAsia="方正仿宋_GBK"/>
                <w:kern w:val="0"/>
                <w:sz w:val="18"/>
                <w:szCs w:val="18"/>
              </w:rPr>
              <w:t>自动化</w:t>
            </w: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、机械设计及理论、高级制造技术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县引企用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8116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邻水县商务局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邻水县百事通文化传媒有限公司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新闻传播学类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县引企用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8117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邻水县农业农村局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四川缪氏现代农业发展有限公司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植物生产类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县引企用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8118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邻水县文化旅游广播电视局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  <w:t>铜锣山生态园旅游开发有限公司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旅游管理类、植物生产类</w:t>
            </w:r>
            <w:r>
              <w:rPr>
                <w:rStyle w:val="6"/>
                <w:rFonts w:hint="eastAsia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、</w:t>
            </w:r>
            <w:r>
              <w:rPr>
                <w:rStyle w:val="6"/>
                <w:rFonts w:hint="default" w:ascii="Times New Roman" w:hAnsi="Times New Roman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市场营销管理、</w:t>
            </w:r>
            <w:r>
              <w:rPr>
                <w:rFonts w:eastAsia="方正仿宋_GBK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县引企用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</w:p>
        </w:tc>
      </w:tr>
    </w:tbl>
    <w:p>
      <w:pPr>
        <w:widowControl w:val="0"/>
        <w:spacing w:before="0" w:beforeLines="0" w:after="0" w:afterLines="0" w:line="20" w:lineRule="exact"/>
        <w:ind w:left="0" w:right="0" w:firstLine="0"/>
        <w:textAlignment w:val="auto"/>
        <w:rPr>
          <w:rFonts w:hint="eastAsia" w:hAnsi="Times New Roman" w:cs="Times New Roman"/>
          <w:b w:val="0"/>
          <w:i w:val="0"/>
          <w:strike w:val="0"/>
          <w:dstrike w:val="0"/>
          <w:spacing w:val="0"/>
          <w:w w:val="100"/>
          <w:kern w:val="2"/>
          <w:szCs w:val="24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方正仿宋_GBK"/>
          <w:b w:val="0"/>
          <w:i w:val="0"/>
          <w:strike w:val="0"/>
          <w:dstrike w:val="0"/>
          <w:color w:val="auto"/>
          <w:spacing w:val="0"/>
          <w:w w:val="100"/>
          <w:kern w:val="2"/>
          <w:sz w:val="33"/>
          <w:szCs w:val="33"/>
          <w:u w:val="none"/>
          <w:vertAlign w:val="baseline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WNhNzkzNGZmZDQyMjk0NDFlN2RiOTJiZmVkNDkifQ=="/>
  </w:docVars>
  <w:rsids>
    <w:rsidRoot w:val="5AFB6E66"/>
    <w:rsid w:val="02C62DAA"/>
    <w:rsid w:val="2DA76FEB"/>
    <w:rsid w:val="5AFB6E66"/>
    <w:rsid w:val="772C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beforeLines="0" w:after="0" w:afterLines="0" w:line="856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left" w:pos="4149"/>
        <w:tab w:val="left" w:pos="8016"/>
      </w:tabs>
      <w:spacing w:line="419" w:lineRule="atLeast"/>
      <w:ind w:firstLine="419"/>
      <w:jc w:val="left"/>
      <w:textAlignment w:val="baseline"/>
    </w:pPr>
    <w:rPr>
      <w:rFonts w:ascii="Times New Roman" w:eastAsia="宋体"/>
      <w:color w:val="000000"/>
      <w:sz w:val="18"/>
      <w:u w:val="none" w:color="000000"/>
      <w:vertAlign w:val="baseline"/>
      <w:lang w:val="en-US" w:eastAsia="zh-CN"/>
    </w:rPr>
  </w:style>
  <w:style w:type="paragraph" w:styleId="3">
    <w:name w:val="header"/>
    <w:basedOn w:val="1"/>
    <w:qFormat/>
    <w:uiPriority w:val="0"/>
    <w:pPr>
      <w:tabs>
        <w:tab w:val="left" w:pos="4149"/>
        <w:tab w:val="left" w:pos="8016"/>
      </w:tabs>
      <w:spacing w:line="419" w:lineRule="atLeast"/>
      <w:ind w:firstLine="419"/>
      <w:jc w:val="center"/>
      <w:textAlignment w:val="baseline"/>
    </w:pPr>
    <w:rPr>
      <w:rFonts w:ascii="Times New Roman" w:eastAsia="宋体"/>
      <w:color w:val="000000"/>
      <w:sz w:val="18"/>
      <w:u w:val="none" w:color="000000"/>
      <w:vertAlign w:val="baseline"/>
      <w:lang w:val="en-US" w:eastAsia="zh-CN"/>
    </w:rPr>
  </w:style>
  <w:style w:type="character" w:customStyle="1" w:styleId="6">
    <w:name w:val="font111"/>
    <w:basedOn w:val="5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7">
    <w:name w:val=" Char1"/>
    <w:basedOn w:val="1"/>
    <w:uiPriority w:val="0"/>
    <w:rPr>
      <w:rFonts w:ascii="Times New Roman" w:eastAsia="宋体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customStyle="1" w:styleId="8">
    <w:name w:val="font9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1049</Words>
  <Characters>1107</Characters>
  <Lines>0</Lines>
  <Paragraphs>0</Paragraphs>
  <TotalTime>47</TotalTime>
  <ScaleCrop>false</ScaleCrop>
  <LinksUpToDate>false</LinksUpToDate>
  <CharactersWithSpaces>1107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2022-09-05T08:23:00Z</dcterms:created>
  <dc:creator>冯某某</dc:creator>
  <cp:lastModifiedBy>JU.</cp:lastModifiedBy>
  <dcterms:modified xsi:type="dcterms:W3CDTF">2022-09-05T13:43:26Z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AC1C64F4DE6247BA874A4CE8917705AC</vt:lpwstr>
  </property>
</Properties>
</file>