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附件1：</w:t>
      </w:r>
    </w:p>
    <w:p>
      <w:pPr>
        <w:ind w:firstLine="880" w:firstLineChars="200"/>
        <w:jc w:val="left"/>
        <w:rPr>
          <w:rFonts w:ascii="仿宋" w:hAnsi="仿宋" w:eastAsia="仿宋" w:cs="宋体"/>
          <w:sz w:val="32"/>
          <w:szCs w:val="32"/>
        </w:rPr>
      </w:pPr>
      <w:r>
        <w:rPr>
          <w:rFonts w:hint="eastAsia" w:ascii="微软雅黑" w:hAnsi="微软雅黑" w:cs="宋体"/>
          <w:color w:val="000000"/>
          <w:sz w:val="44"/>
          <w:szCs w:val="44"/>
          <w:shd w:val="clear" w:color="auto" w:fill="FFFFFF"/>
        </w:rPr>
        <w:t>商丘技师学院</w:t>
      </w:r>
      <w:r>
        <w:rPr>
          <w:rFonts w:hint="eastAsia" w:ascii="微软雅黑" w:hAnsi="微软雅黑"/>
          <w:color w:val="000000"/>
          <w:sz w:val="44"/>
          <w:szCs w:val="44"/>
          <w:shd w:val="clear" w:color="auto" w:fill="FFFFFF"/>
        </w:rPr>
        <w:t>202</w:t>
      </w:r>
      <w:r>
        <w:rPr>
          <w:rFonts w:hint="eastAsia" w:ascii="微软雅黑" w:hAnsi="微软雅黑" w:cs="宋体"/>
          <w:color w:val="000000"/>
          <w:sz w:val="44"/>
          <w:szCs w:val="44"/>
          <w:shd w:val="clear" w:color="auto" w:fill="FFFFFF"/>
        </w:rPr>
        <w:t>2年</w:t>
      </w:r>
      <w:r>
        <w:rPr>
          <w:rFonts w:ascii="微软雅黑" w:hAnsi="微软雅黑" w:cs="宋体"/>
          <w:color w:val="000000"/>
          <w:sz w:val="44"/>
          <w:szCs w:val="44"/>
          <w:shd w:val="clear" w:color="auto" w:fill="FFFFFF"/>
        </w:rPr>
        <w:t>人才引进计划表</w:t>
      </w:r>
    </w:p>
    <w:p>
      <w:pPr>
        <w:spacing w:line="240" w:lineRule="exact"/>
        <w:rPr>
          <w:rFonts w:ascii="仿宋_GB2312" w:hAnsi="仿宋_GB2312" w:eastAsia="仿宋_GB2312" w:cs="仿宋_GB2312"/>
          <w:szCs w:val="21"/>
        </w:rPr>
      </w:pPr>
    </w:p>
    <w:tbl>
      <w:tblPr>
        <w:tblStyle w:val="3"/>
        <w:tblW w:w="9629" w:type="dxa"/>
        <w:tblInd w:w="0" w:type="dxa"/>
        <w:tblLayout w:type="fixed"/>
        <w:tblCellMar>
          <w:top w:w="0" w:type="dxa"/>
          <w:left w:w="108" w:type="dxa"/>
          <w:bottom w:w="0" w:type="dxa"/>
          <w:right w:w="108" w:type="dxa"/>
        </w:tblCellMar>
      </w:tblPr>
      <w:tblGrid>
        <w:gridCol w:w="721"/>
        <w:gridCol w:w="1186"/>
        <w:gridCol w:w="1164"/>
        <w:gridCol w:w="2805"/>
        <w:gridCol w:w="709"/>
        <w:gridCol w:w="1701"/>
        <w:gridCol w:w="1343"/>
      </w:tblGrid>
      <w:tr>
        <w:tblPrEx>
          <w:tblCellMar>
            <w:top w:w="0" w:type="dxa"/>
            <w:left w:w="108" w:type="dxa"/>
            <w:bottom w:w="0" w:type="dxa"/>
            <w:right w:w="108" w:type="dxa"/>
          </w:tblCellMar>
        </w:tblPrEx>
        <w:trPr>
          <w:trHeight w:val="1347"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岗位名称</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学历要求</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专业要求</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拟招人数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年龄要求</w:t>
            </w: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1651"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汽修系专职教师</w:t>
            </w:r>
          </w:p>
        </w:tc>
        <w:tc>
          <w:tcPr>
            <w:tcW w:w="116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普通高等教育硕士研究生及以上</w:t>
            </w:r>
          </w:p>
        </w:tc>
        <w:tc>
          <w:tcPr>
            <w:tcW w:w="2805"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电子类、汽车类相关专业</w:t>
            </w:r>
          </w:p>
        </w:tc>
        <w:tc>
          <w:tcPr>
            <w:tcW w:w="709" w:type="dxa"/>
            <w:vMerge w:val="restar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30"/>
                <w:szCs w:val="30"/>
              </w:rPr>
              <w:t>20</w:t>
            </w:r>
          </w:p>
        </w:tc>
        <w:tc>
          <w:tcPr>
            <w:tcW w:w="1701" w:type="dxa"/>
            <w:vMerge w:val="restart"/>
            <w:tcBorders>
              <w:top w:val="single" w:color="000000" w:sz="4" w:space="0"/>
              <w:left w:val="single" w:color="000000" w:sz="4" w:space="0"/>
              <w:bottom w:val="nil"/>
              <w:right w:val="single" w:color="000000" w:sz="4" w:space="0"/>
            </w:tcBorders>
            <w:shd w:val="clear" w:color="auto" w:fill="FFFFFF"/>
            <w:vAlign w:val="center"/>
          </w:tcPr>
          <w:p>
            <w:pPr>
              <w:ind w:firstLine="220" w:firstLineChars="100"/>
              <w:jc w:val="left"/>
              <w:rPr>
                <w:rFonts w:ascii="宋体" w:hAnsi="宋体" w:cs="宋体"/>
                <w:sz w:val="22"/>
              </w:rPr>
            </w:pPr>
            <w:r>
              <w:rPr>
                <w:rFonts w:hint="eastAsia" w:ascii="宋体" w:hAnsi="宋体" w:cs="宋体"/>
                <w:sz w:val="22"/>
              </w:rPr>
              <w:t>所有应聘人员的年龄须在35周岁以下（计算时间截止到2022年</w:t>
            </w:r>
            <w:r>
              <w:rPr>
                <w:rFonts w:hint="eastAsia" w:ascii="宋体" w:hAnsi="宋体" w:cs="宋体"/>
                <w:sz w:val="22"/>
                <w:lang w:val="en-US" w:eastAsia="zh-CN"/>
              </w:rPr>
              <w:t>1</w:t>
            </w:r>
            <w:r>
              <w:rPr>
                <w:rFonts w:hint="eastAsia" w:ascii="宋体" w:hAnsi="宋体" w:cs="宋体"/>
                <w:sz w:val="22"/>
              </w:rPr>
              <w:t>月1日）</w:t>
            </w:r>
          </w:p>
          <w:p>
            <w:pPr>
              <w:jc w:val="center"/>
              <w:rPr>
                <w:rFonts w:ascii="宋体" w:hAnsi="宋体" w:cs="宋体"/>
                <w:sz w:val="22"/>
              </w:rPr>
            </w:pPr>
          </w:p>
        </w:tc>
        <w:tc>
          <w:tcPr>
            <w:tcW w:w="1343" w:type="dxa"/>
            <w:vMerge w:val="restart"/>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根据专业课教师报名情况，特别优秀且急需的全日制本科同时具有高级工以上技能等级证的高技能人才可以酌情考虑</w:t>
            </w:r>
          </w:p>
          <w:p>
            <w:pPr>
              <w:ind w:firstLine="220" w:firstLineChars="100"/>
              <w:jc w:val="center"/>
              <w:rPr>
                <w:rFonts w:ascii="宋体" w:hAnsi="宋体" w:cs="宋体"/>
                <w:sz w:val="22"/>
              </w:rPr>
            </w:pPr>
          </w:p>
        </w:tc>
      </w:tr>
      <w:tr>
        <w:tblPrEx>
          <w:tblCellMar>
            <w:top w:w="0" w:type="dxa"/>
            <w:left w:w="108" w:type="dxa"/>
            <w:bottom w:w="0" w:type="dxa"/>
            <w:right w:w="108" w:type="dxa"/>
          </w:tblCellMar>
        </w:tblPrEx>
        <w:trPr>
          <w:trHeight w:val="170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r>
              <w:rPr>
                <w:rFonts w:hint="eastAsia" w:ascii="宋体" w:hAnsi="宋体" w:cs="宋体"/>
                <w:sz w:val="22"/>
              </w:rPr>
              <w:t>信息系专职教师</w:t>
            </w:r>
          </w:p>
        </w:tc>
        <w:tc>
          <w:tcPr>
            <w:tcW w:w="1164"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pPr>
            <w:r>
              <w:rPr>
                <w:rFonts w:hint="eastAsia" w:ascii="宋体" w:hAnsi="宋体" w:cs="宋体"/>
                <w:sz w:val="22"/>
              </w:rPr>
              <w:t>普通高等教育硕士研究生及以上</w:t>
            </w:r>
          </w:p>
        </w:tc>
        <w:tc>
          <w:tcPr>
            <w:tcW w:w="2805"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sz w:val="22"/>
                <w:lang w:eastAsia="zh-CN"/>
              </w:rPr>
            </w:pPr>
            <w:r>
              <w:rPr>
                <w:rFonts w:hint="eastAsia" w:ascii="宋体" w:hAnsi="宋体" w:cs="宋体"/>
                <w:sz w:val="22"/>
              </w:rPr>
              <w:t>计算机</w:t>
            </w:r>
            <w:r>
              <w:rPr>
                <w:rFonts w:hint="eastAsia" w:ascii="宋体" w:hAnsi="宋体" w:cs="宋体"/>
                <w:sz w:val="22"/>
                <w:lang w:eastAsia="zh-CN"/>
              </w:rPr>
              <w:t>类相关专业</w:t>
            </w:r>
          </w:p>
        </w:tc>
        <w:tc>
          <w:tcPr>
            <w:tcW w:w="709"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c>
          <w:tcPr>
            <w:tcW w:w="1701"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c>
          <w:tcPr>
            <w:tcW w:w="1343"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r>
      <w:tr>
        <w:tblPrEx>
          <w:tblCellMar>
            <w:top w:w="0" w:type="dxa"/>
            <w:left w:w="108" w:type="dxa"/>
            <w:bottom w:w="0" w:type="dxa"/>
            <w:right w:w="108" w:type="dxa"/>
          </w:tblCellMar>
        </w:tblPrEx>
        <w:trPr>
          <w:trHeight w:val="168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机电系专职教师</w:t>
            </w:r>
          </w:p>
        </w:tc>
        <w:tc>
          <w:tcPr>
            <w:tcW w:w="1164"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pPr>
            <w:r>
              <w:rPr>
                <w:rFonts w:hint="eastAsia" w:ascii="宋体" w:hAnsi="宋体" w:cs="宋体"/>
                <w:sz w:val="22"/>
              </w:rPr>
              <w:t>普通高等教育硕士研究生及以上</w:t>
            </w:r>
          </w:p>
        </w:tc>
        <w:tc>
          <w:tcPr>
            <w:tcW w:w="2805"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cs="宋体"/>
                <w:sz w:val="22"/>
              </w:rPr>
            </w:pPr>
            <w:r>
              <w:rPr>
                <w:rFonts w:hint="eastAsia" w:ascii="宋体" w:hAnsi="宋体" w:cs="宋体"/>
                <w:sz w:val="22"/>
              </w:rPr>
              <w:t>机械</w:t>
            </w:r>
            <w:r>
              <w:rPr>
                <w:rFonts w:hint="eastAsia" w:ascii="宋体" w:hAnsi="宋体" w:cs="宋体"/>
                <w:sz w:val="22"/>
                <w:lang w:eastAsia="zh-CN"/>
              </w:rPr>
              <w:t>类相关专业</w:t>
            </w:r>
            <w:r>
              <w:rPr>
                <w:rFonts w:hint="eastAsia" w:ascii="宋体" w:hAnsi="宋体" w:cs="宋体"/>
                <w:sz w:val="22"/>
              </w:rPr>
              <w:t>、</w:t>
            </w:r>
          </w:p>
          <w:p>
            <w:pPr>
              <w:ind w:firstLine="440" w:firstLineChars="200"/>
              <w:jc w:val="both"/>
              <w:rPr>
                <w:rFonts w:ascii="宋体" w:hAnsi="宋体" w:cs="宋体"/>
                <w:sz w:val="22"/>
              </w:rPr>
            </w:pPr>
            <w:r>
              <w:rPr>
                <w:rFonts w:hint="eastAsia" w:ascii="宋体" w:hAnsi="宋体" w:cs="宋体"/>
                <w:sz w:val="22"/>
              </w:rPr>
              <w:t>控制科学与工程</w:t>
            </w:r>
          </w:p>
        </w:tc>
        <w:tc>
          <w:tcPr>
            <w:tcW w:w="709"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c>
          <w:tcPr>
            <w:tcW w:w="1701"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c>
          <w:tcPr>
            <w:tcW w:w="1343"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r>
      <w:tr>
        <w:tblPrEx>
          <w:tblCellMar>
            <w:top w:w="0" w:type="dxa"/>
            <w:left w:w="108" w:type="dxa"/>
            <w:bottom w:w="0" w:type="dxa"/>
            <w:right w:w="108" w:type="dxa"/>
          </w:tblCellMar>
        </w:tblPrEx>
        <w:trPr>
          <w:trHeight w:val="1836"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现代服务系专职教师</w:t>
            </w:r>
          </w:p>
        </w:tc>
        <w:tc>
          <w:tcPr>
            <w:tcW w:w="116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pPr>
            <w:r>
              <w:rPr>
                <w:rFonts w:hint="eastAsia" w:ascii="宋体" w:hAnsi="宋体" w:cs="宋体"/>
                <w:sz w:val="22"/>
              </w:rPr>
              <w:t>普通高等教育硕士研究生及以上</w:t>
            </w:r>
          </w:p>
        </w:tc>
        <w:tc>
          <w:tcPr>
            <w:tcW w:w="2805"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lang w:eastAsia="zh-CN"/>
              </w:rPr>
            </w:pPr>
            <w:r>
              <w:rPr>
                <w:rFonts w:hint="eastAsia" w:ascii="宋体" w:hAnsi="宋体" w:cs="宋体"/>
                <w:color w:val="000000" w:themeColor="text1"/>
                <w:sz w:val="22"/>
                <w:lang w:eastAsia="zh-CN"/>
              </w:rPr>
              <w:t>管理学（会计、企业管理、</w:t>
            </w:r>
            <w:r>
              <w:rPr>
                <w:rFonts w:hint="eastAsia" w:ascii="宋体" w:hAnsi="宋体" w:cs="宋体"/>
                <w:color w:val="000000" w:themeColor="text1"/>
                <w:sz w:val="22"/>
              </w:rPr>
              <w:t>物流管理</w:t>
            </w:r>
            <w:r>
              <w:rPr>
                <w:rFonts w:hint="eastAsia" w:ascii="宋体" w:hAnsi="宋体" w:cs="宋体"/>
                <w:color w:val="000000" w:themeColor="text1"/>
                <w:sz w:val="22"/>
                <w:lang w:eastAsia="zh-CN"/>
              </w:rPr>
              <w:t>）</w:t>
            </w:r>
            <w:r>
              <w:rPr>
                <w:rFonts w:hint="eastAsia" w:ascii="宋体" w:hAnsi="宋体" w:cs="宋体"/>
                <w:color w:val="000000" w:themeColor="text1"/>
                <w:sz w:val="22"/>
              </w:rPr>
              <w:t>、</w:t>
            </w:r>
            <w:r>
              <w:rPr>
                <w:rFonts w:hint="eastAsia" w:ascii="宋体" w:hAnsi="宋体" w:cs="宋体"/>
                <w:color w:val="000000" w:themeColor="text1"/>
                <w:sz w:val="22"/>
                <w:lang w:eastAsia="zh-CN"/>
              </w:rPr>
              <w:t>经济学、</w:t>
            </w:r>
            <w:r>
              <w:rPr>
                <w:rFonts w:hint="eastAsia" w:ascii="宋体" w:hAnsi="宋体" w:cs="宋体"/>
                <w:color w:val="000000" w:themeColor="text1"/>
                <w:sz w:val="22"/>
              </w:rPr>
              <w:t>艺术</w:t>
            </w:r>
            <w:r>
              <w:rPr>
                <w:rFonts w:hint="eastAsia" w:ascii="宋体" w:hAnsi="宋体" w:cs="宋体"/>
                <w:color w:val="000000" w:themeColor="text1"/>
                <w:sz w:val="22"/>
                <w:lang w:eastAsia="zh-CN"/>
              </w:rPr>
              <w:t>、</w:t>
            </w:r>
            <w:r>
              <w:rPr>
                <w:rFonts w:hint="eastAsia" w:ascii="宋体" w:hAnsi="宋体" w:cs="宋体"/>
                <w:color w:val="000000" w:themeColor="text1"/>
                <w:sz w:val="22"/>
              </w:rPr>
              <w:t>材料科学与工程（</w:t>
            </w:r>
            <w:bookmarkStart w:id="0" w:name="_GoBack"/>
            <w:bookmarkEnd w:id="0"/>
            <w:r>
              <w:rPr>
                <w:rFonts w:hint="eastAsia" w:ascii="宋体" w:hAnsi="宋体" w:cs="宋体"/>
                <w:color w:val="000000" w:themeColor="text1"/>
                <w:sz w:val="22"/>
              </w:rPr>
              <w:t>珠宝）</w:t>
            </w:r>
          </w:p>
        </w:tc>
        <w:tc>
          <w:tcPr>
            <w:tcW w:w="709"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c>
          <w:tcPr>
            <w:tcW w:w="1701" w:type="dxa"/>
            <w:vMerge w:val="continue"/>
            <w:tcBorders>
              <w:left w:val="single" w:color="000000" w:sz="4" w:space="0"/>
              <w:right w:val="single" w:color="000000" w:sz="4" w:space="0"/>
            </w:tcBorders>
            <w:shd w:val="clear" w:color="auto" w:fill="FFFFFF"/>
            <w:vAlign w:val="center"/>
          </w:tcPr>
          <w:p>
            <w:pPr>
              <w:jc w:val="center"/>
              <w:rPr>
                <w:rFonts w:ascii="宋体" w:hAnsi="宋体" w:cs="宋体"/>
                <w:sz w:val="22"/>
              </w:rPr>
            </w:pPr>
          </w:p>
        </w:tc>
        <w:tc>
          <w:tcPr>
            <w:tcW w:w="134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p>
        </w:tc>
      </w:tr>
      <w:tr>
        <w:tblPrEx>
          <w:tblCellMar>
            <w:top w:w="0" w:type="dxa"/>
            <w:left w:w="108" w:type="dxa"/>
            <w:bottom w:w="0" w:type="dxa"/>
            <w:right w:w="108" w:type="dxa"/>
          </w:tblCellMar>
        </w:tblPrEx>
        <w:trPr>
          <w:trHeight w:val="198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基础课专职教师</w:t>
            </w:r>
          </w:p>
        </w:tc>
        <w:tc>
          <w:tcPr>
            <w:tcW w:w="1164"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pPr>
            <w:r>
              <w:rPr>
                <w:rFonts w:hint="eastAsia" w:ascii="宋体" w:hAnsi="宋体" w:cs="宋体"/>
                <w:sz w:val="22"/>
              </w:rPr>
              <w:t>普通高等教育硕士研究生及以上</w:t>
            </w:r>
          </w:p>
        </w:tc>
        <w:tc>
          <w:tcPr>
            <w:tcW w:w="2805"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rPr>
            </w:pPr>
            <w:r>
              <w:rPr>
                <w:rFonts w:hint="eastAsia" w:ascii="宋体" w:hAnsi="宋体" w:cs="宋体"/>
                <w:color w:val="000000" w:themeColor="text1"/>
                <w:sz w:val="22"/>
                <w:lang w:eastAsia="zh-CN"/>
              </w:rPr>
              <w:t>法律、思想政治教育</w:t>
            </w:r>
            <w:r>
              <w:rPr>
                <w:rFonts w:hint="eastAsia" w:ascii="宋体" w:hAnsi="宋体" w:cs="宋体"/>
                <w:color w:val="000000" w:themeColor="text1"/>
                <w:sz w:val="22"/>
              </w:rPr>
              <w:t>、中国语言文学、中国史、教育心理学、体育</w:t>
            </w: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p>
        </w:tc>
        <w:tc>
          <w:tcPr>
            <w:tcW w:w="1701"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p>
        </w:tc>
        <w:tc>
          <w:tcPr>
            <w:tcW w:w="134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sz w:val="22"/>
              </w:rPr>
            </w:pPr>
          </w:p>
        </w:tc>
      </w:tr>
    </w:tbl>
    <w:p>
      <w:pPr>
        <w:jc w:val="left"/>
        <w:rPr>
          <w:rFonts w:ascii="Arial" w:hAnsi="Arial" w:eastAsia="黑体"/>
          <w:b/>
          <w:sz w:val="32"/>
        </w:rPr>
      </w:pPr>
    </w:p>
    <w:p>
      <w:pPr>
        <w:jc w:val="left"/>
        <w:rPr>
          <w:rFonts w:hint="eastAsia" w:ascii="仿宋" w:hAnsi="仿宋" w:eastAsia="仿宋"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NDY2M2NlNDk3MGUyMGFjMjUxNDkyN2U2NzhmYzEifQ=="/>
  </w:docVars>
  <w:rsids>
    <w:rsidRoot w:val="00161B4A"/>
    <w:rsid w:val="00132D6B"/>
    <w:rsid w:val="00161B4A"/>
    <w:rsid w:val="00EF3E52"/>
    <w:rsid w:val="0E643155"/>
    <w:rsid w:val="1F965762"/>
    <w:rsid w:val="6762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2 Char"/>
    <w:basedOn w:val="4"/>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346</Characters>
  <Lines>2</Lines>
  <Paragraphs>1</Paragraphs>
  <TotalTime>23</TotalTime>
  <ScaleCrop>false</ScaleCrop>
  <LinksUpToDate>false</LinksUpToDate>
  <CharactersWithSpaces>346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2022-09-16T12:18:00Z</dcterms:created>
  <dc:creator>Administrator</dc:creator>
  <cp:lastModifiedBy>Administrator</cp:lastModifiedBy>
  <dcterms:modified xsi:type="dcterms:W3CDTF">2022-09-17T08:57:19Z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D0C539A71E094F45826C4A93C5D0A0B7</vt:lpwstr>
  </property>
</Properties>
</file>