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w:t>
      </w:r>
    </w:p>
    <w:tbl>
      <w:tblPr>
        <w:tblStyle w:val="4"/>
        <w:tblW w:w="13989" w:type="dxa"/>
        <w:tblInd w:w="-70" w:type="dxa"/>
        <w:tblLayout w:type="fixed"/>
        <w:tblCellMar>
          <w:top w:w="0" w:type="dxa"/>
          <w:left w:w="108" w:type="dxa"/>
          <w:bottom w:w="0" w:type="dxa"/>
          <w:right w:w="108" w:type="dxa"/>
        </w:tblCellMar>
      </w:tblPr>
      <w:tblGrid>
        <w:gridCol w:w="1451"/>
        <w:gridCol w:w="1536"/>
        <w:gridCol w:w="1627"/>
        <w:gridCol w:w="839"/>
        <w:gridCol w:w="3983"/>
        <w:gridCol w:w="1292"/>
        <w:gridCol w:w="3261"/>
      </w:tblGrid>
      <w:tr>
        <w:tblPrEx>
          <w:tblCellMar>
            <w:top w:w="0" w:type="dxa"/>
            <w:left w:w="108" w:type="dxa"/>
            <w:bottom w:w="0" w:type="dxa"/>
            <w:right w:w="108" w:type="dxa"/>
          </w:tblCellMar>
        </w:tblPrEx>
        <w:trPr>
          <w:trHeight w:val="815" w:hRule="atLeast"/>
        </w:trPr>
        <w:tc>
          <w:tcPr>
            <w:tcW w:w="13989" w:type="dxa"/>
            <w:gridSpan w:val="7"/>
            <w:tcBorders>
              <w:top w:val="nil"/>
              <w:left w:val="nil"/>
              <w:bottom w:val="single" w:color="000000"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方正小标宋简体" w:hAnsi="方正小标宋简体" w:eastAsia="方正小标宋简体" w:cs="方正小标宋简体"/>
                <w:w w:val="90"/>
                <w:kern w:val="0"/>
                <w:sz w:val="40"/>
                <w:szCs w:val="40"/>
                <w:u w:val="none"/>
                <w:lang w:bidi="ar"/>
              </w:rPr>
            </w:pPr>
            <w:r>
              <w:rPr>
                <w:rFonts w:hint="eastAsia" w:ascii="方正小标宋简体" w:hAnsi="方正小标宋简体" w:eastAsia="方正小标宋简体" w:cs="方正小标宋简体"/>
                <w:w w:val="90"/>
                <w:kern w:val="0"/>
                <w:sz w:val="40"/>
                <w:szCs w:val="40"/>
                <w:u w:val="none"/>
                <w:lang w:bidi="ar"/>
              </w:rPr>
              <w:t>呼和浩特市纪委监委所属事业单位2022年度</w:t>
            </w:r>
          </w:p>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方正小标宋简体" w:hAnsi="方正小标宋简体" w:eastAsia="方正小标宋简体" w:cs="方正小标宋简体"/>
                <w:sz w:val="44"/>
                <w:szCs w:val="44"/>
                <w:u w:val="none"/>
              </w:rPr>
            </w:pPr>
            <w:r>
              <w:rPr>
                <w:rFonts w:hint="default" w:ascii="方正小标宋简体" w:hAnsi="方正小标宋简体" w:eastAsia="方正小标宋简体" w:cs="方正小标宋简体"/>
                <w:w w:val="90"/>
                <w:kern w:val="0"/>
                <w:sz w:val="40"/>
                <w:szCs w:val="40"/>
                <w:u w:val="none"/>
                <w:lang w:bidi="ar"/>
              </w:rPr>
              <w:t>第二批次</w:t>
            </w:r>
            <w:r>
              <w:rPr>
                <w:rFonts w:hint="eastAsia" w:ascii="方正小标宋简体" w:hAnsi="方正小标宋简体" w:eastAsia="方正小标宋简体" w:cs="方正小标宋简体"/>
                <w:w w:val="90"/>
                <w:kern w:val="0"/>
                <w:sz w:val="40"/>
                <w:szCs w:val="40"/>
                <w:u w:val="none"/>
                <w:lang w:bidi="ar"/>
              </w:rPr>
              <w:t>引进人才岗位</w:t>
            </w:r>
            <w:r>
              <w:rPr>
                <w:rFonts w:hint="default" w:ascii="方正小标宋简体" w:hAnsi="方正小标宋简体" w:eastAsia="方正小标宋简体" w:cs="方正小标宋简体"/>
                <w:w w:val="90"/>
                <w:kern w:val="0"/>
                <w:sz w:val="40"/>
                <w:szCs w:val="40"/>
                <w:u w:val="none"/>
                <w:lang w:bidi="ar"/>
              </w:rPr>
              <w:t>需求</w:t>
            </w:r>
            <w:r>
              <w:rPr>
                <w:rFonts w:hint="eastAsia" w:ascii="方正小标宋简体" w:hAnsi="方正小标宋简体" w:eastAsia="方正小标宋简体" w:cs="方正小标宋简体"/>
                <w:w w:val="90"/>
                <w:kern w:val="0"/>
                <w:sz w:val="40"/>
                <w:szCs w:val="40"/>
                <w:u w:val="none"/>
                <w:lang w:bidi="ar"/>
              </w:rPr>
              <w:t>表</w:t>
            </w:r>
          </w:p>
        </w:tc>
      </w:tr>
      <w:tr>
        <w:tblPrEx>
          <w:tblCellMar>
            <w:top w:w="0" w:type="dxa"/>
            <w:left w:w="108" w:type="dxa"/>
            <w:bottom w:w="0" w:type="dxa"/>
            <w:right w:w="108" w:type="dxa"/>
          </w:tblCellMar>
        </w:tblPrEx>
        <w:trPr>
          <w:trHeight w:val="480" w:hRule="atLeast"/>
        </w:trPr>
        <w:tc>
          <w:tcPr>
            <w:tcW w:w="14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黑体" w:hAnsi="黑体" w:eastAsia="黑体" w:cs="黑体"/>
                <w:b/>
                <w:sz w:val="28"/>
                <w:szCs w:val="28"/>
                <w:u w:val="none"/>
              </w:rPr>
            </w:pPr>
            <w:r>
              <w:rPr>
                <w:rFonts w:hint="eastAsia" w:ascii="黑体" w:hAnsi="黑体" w:eastAsia="黑体" w:cs="黑体"/>
                <w:b/>
                <w:kern w:val="0"/>
                <w:sz w:val="28"/>
                <w:szCs w:val="28"/>
                <w:u w:val="none"/>
                <w:lang w:bidi="ar"/>
              </w:rPr>
              <w:t>主管部门</w:t>
            </w:r>
          </w:p>
        </w:tc>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黑体" w:hAnsi="黑体" w:eastAsia="黑体" w:cs="黑体"/>
                <w:b/>
                <w:sz w:val="28"/>
                <w:szCs w:val="28"/>
                <w:u w:val="none"/>
              </w:rPr>
            </w:pPr>
            <w:r>
              <w:rPr>
                <w:rFonts w:hint="eastAsia" w:ascii="黑体" w:hAnsi="黑体" w:eastAsia="黑体" w:cs="黑体"/>
                <w:b/>
                <w:kern w:val="0"/>
                <w:sz w:val="28"/>
                <w:szCs w:val="28"/>
                <w:u w:val="none"/>
                <w:lang w:bidi="ar"/>
              </w:rPr>
              <w:t>单位</w:t>
            </w:r>
          </w:p>
        </w:tc>
        <w:tc>
          <w:tcPr>
            <w:tcW w:w="1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黑体" w:hAnsi="黑体" w:eastAsia="黑体" w:cs="黑体"/>
                <w:b/>
                <w:sz w:val="28"/>
                <w:szCs w:val="28"/>
                <w:u w:val="none"/>
              </w:rPr>
            </w:pPr>
            <w:r>
              <w:rPr>
                <w:rFonts w:hint="default" w:ascii="黑体" w:hAnsi="黑体" w:eastAsia="黑体" w:cs="黑体"/>
                <w:b/>
                <w:kern w:val="0"/>
                <w:sz w:val="28"/>
                <w:szCs w:val="28"/>
                <w:u w:val="none"/>
                <w:lang w:bidi="ar"/>
              </w:rPr>
              <w:t>引进</w:t>
            </w:r>
            <w:r>
              <w:rPr>
                <w:rFonts w:hint="eastAsia" w:ascii="黑体" w:hAnsi="黑体" w:eastAsia="黑体" w:cs="黑体"/>
                <w:b/>
                <w:kern w:val="0"/>
                <w:sz w:val="28"/>
                <w:szCs w:val="28"/>
                <w:u w:val="none"/>
                <w:lang w:bidi="ar"/>
              </w:rPr>
              <w:t>职位</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黑体" w:hAnsi="黑体" w:eastAsia="黑体" w:cs="黑体"/>
                <w:b/>
                <w:sz w:val="28"/>
                <w:szCs w:val="28"/>
                <w:u w:val="none"/>
              </w:rPr>
            </w:pPr>
            <w:r>
              <w:rPr>
                <w:rFonts w:hint="default" w:ascii="黑体" w:hAnsi="黑体" w:eastAsia="黑体" w:cs="黑体"/>
                <w:b/>
                <w:kern w:val="0"/>
                <w:sz w:val="28"/>
                <w:szCs w:val="28"/>
                <w:u w:val="none"/>
                <w:lang w:bidi="ar"/>
              </w:rPr>
              <w:t>引进</w:t>
            </w:r>
            <w:r>
              <w:rPr>
                <w:rFonts w:hint="eastAsia" w:ascii="黑体" w:hAnsi="黑体" w:eastAsia="黑体" w:cs="黑体"/>
                <w:b/>
                <w:kern w:val="0"/>
                <w:sz w:val="28"/>
                <w:szCs w:val="28"/>
                <w:u w:val="none"/>
                <w:lang w:bidi="ar"/>
              </w:rPr>
              <w:t>人数</w:t>
            </w:r>
          </w:p>
        </w:tc>
        <w:tc>
          <w:tcPr>
            <w:tcW w:w="853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宋体" w:eastAsia="仿宋_GB2312" w:cs="仿宋_GB2312"/>
                <w:b/>
                <w:sz w:val="28"/>
                <w:szCs w:val="28"/>
                <w:u w:val="none"/>
              </w:rPr>
            </w:pPr>
            <w:r>
              <w:rPr>
                <w:rFonts w:hint="eastAsia" w:ascii="黑体" w:hAnsi="黑体" w:eastAsia="黑体" w:cs="黑体"/>
                <w:b/>
                <w:kern w:val="0"/>
                <w:sz w:val="28"/>
                <w:szCs w:val="28"/>
                <w:u w:val="none"/>
                <w:lang w:bidi="ar"/>
              </w:rPr>
              <w:t>岗位</w:t>
            </w:r>
            <w:r>
              <w:rPr>
                <w:rFonts w:hint="default" w:ascii="黑体" w:hAnsi="黑体" w:eastAsia="黑体" w:cs="黑体"/>
                <w:b/>
                <w:kern w:val="0"/>
                <w:sz w:val="28"/>
                <w:szCs w:val="28"/>
                <w:u w:val="none"/>
                <w:lang w:bidi="ar"/>
              </w:rPr>
              <w:t>引进</w:t>
            </w:r>
            <w:r>
              <w:rPr>
                <w:rFonts w:hint="eastAsia" w:ascii="黑体" w:hAnsi="黑体" w:eastAsia="黑体" w:cs="黑体"/>
                <w:b/>
                <w:kern w:val="0"/>
                <w:sz w:val="28"/>
                <w:szCs w:val="28"/>
                <w:u w:val="none"/>
                <w:lang w:bidi="ar"/>
              </w:rPr>
              <w:t>条件</w:t>
            </w:r>
          </w:p>
        </w:tc>
      </w:tr>
      <w:tr>
        <w:tblPrEx>
          <w:tblCellMar>
            <w:top w:w="0" w:type="dxa"/>
            <w:left w:w="108" w:type="dxa"/>
            <w:bottom w:w="0" w:type="dxa"/>
            <w:right w:w="108" w:type="dxa"/>
          </w:tblCellMar>
        </w:tblPrEx>
        <w:trPr>
          <w:trHeight w:val="686" w:hRule="atLeast"/>
        </w:trPr>
        <w:tc>
          <w:tcPr>
            <w:tcW w:w="145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ascii="黑体" w:hAnsi="黑体" w:eastAsia="黑体" w:cs="黑体"/>
                <w:b/>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ascii="黑体" w:hAnsi="黑体" w:eastAsia="黑体" w:cs="黑体"/>
                <w:b/>
                <w:sz w:val="28"/>
                <w:szCs w:val="2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ascii="黑体" w:hAnsi="黑体" w:eastAsia="黑体" w:cs="黑体"/>
                <w:b/>
                <w:sz w:val="28"/>
                <w:szCs w:val="28"/>
                <w:u w:val="none"/>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ascii="黑体" w:hAnsi="黑体" w:eastAsia="黑体" w:cs="黑体"/>
                <w:b/>
                <w:sz w:val="28"/>
                <w:szCs w:val="28"/>
                <w:u w:val="none"/>
              </w:rPr>
            </w:pPr>
          </w:p>
        </w:tc>
        <w:tc>
          <w:tcPr>
            <w:tcW w:w="39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黑体" w:hAnsi="黑体" w:eastAsia="黑体" w:cs="黑体"/>
                <w:b/>
                <w:sz w:val="28"/>
                <w:szCs w:val="28"/>
                <w:u w:val="none"/>
              </w:rPr>
            </w:pPr>
            <w:r>
              <w:rPr>
                <w:rFonts w:hint="eastAsia" w:ascii="黑体" w:hAnsi="黑体" w:eastAsia="黑体" w:cs="黑体"/>
                <w:b/>
                <w:kern w:val="0"/>
                <w:sz w:val="28"/>
                <w:szCs w:val="28"/>
                <w:u w:val="none"/>
                <w:lang w:bidi="ar"/>
              </w:rPr>
              <w:t>学历</w:t>
            </w:r>
          </w:p>
        </w:tc>
        <w:tc>
          <w:tcPr>
            <w:tcW w:w="12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黑体" w:hAnsi="黑体" w:eastAsia="黑体" w:cs="黑体"/>
                <w:b/>
                <w:sz w:val="28"/>
                <w:szCs w:val="28"/>
                <w:u w:val="none"/>
              </w:rPr>
            </w:pPr>
            <w:r>
              <w:rPr>
                <w:rFonts w:hint="eastAsia" w:ascii="黑体" w:hAnsi="黑体" w:eastAsia="黑体" w:cs="黑体"/>
                <w:b/>
                <w:kern w:val="0"/>
                <w:sz w:val="28"/>
                <w:szCs w:val="28"/>
                <w:u w:val="none"/>
                <w:lang w:bidi="ar"/>
              </w:rPr>
              <w:t>学位</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ascii="仿宋_GB2312" w:hAnsi="宋体" w:eastAsia="仿宋_GB2312" w:cs="仿宋_GB2312"/>
                <w:b/>
                <w:sz w:val="28"/>
                <w:szCs w:val="28"/>
                <w:u w:val="none"/>
              </w:rPr>
            </w:pPr>
            <w:r>
              <w:rPr>
                <w:rFonts w:hint="eastAsia" w:ascii="黑体" w:hAnsi="黑体" w:eastAsia="黑体" w:cs="黑体"/>
                <w:b/>
                <w:kern w:val="0"/>
                <w:sz w:val="28"/>
                <w:szCs w:val="28"/>
                <w:u w:val="none"/>
                <w:lang w:bidi="ar"/>
              </w:rPr>
              <w:t>专业要求</w:t>
            </w:r>
          </w:p>
        </w:tc>
      </w:tr>
      <w:tr>
        <w:tblPrEx>
          <w:tblCellMar>
            <w:top w:w="0" w:type="dxa"/>
            <w:left w:w="108" w:type="dxa"/>
            <w:bottom w:w="0" w:type="dxa"/>
            <w:right w:w="108" w:type="dxa"/>
          </w:tblCellMar>
        </w:tblPrEx>
        <w:trPr>
          <w:trHeight w:val="1149"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pacing w:val="-17"/>
                <w:sz w:val="22"/>
                <w:szCs w:val="28"/>
                <w:u w:val="none"/>
              </w:rPr>
            </w:pPr>
            <w:r>
              <w:rPr>
                <w:rFonts w:hint="eastAsia" w:ascii="仿宋_GB2312" w:hAnsi="仿宋_GB2312" w:eastAsia="仿宋_GB2312" w:cs="仿宋_GB2312"/>
                <w:spacing w:val="-17"/>
                <w:sz w:val="22"/>
                <w:szCs w:val="28"/>
                <w:u w:val="none"/>
              </w:rPr>
              <w:t>呼和浩特</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pacing w:val="-17"/>
                <w:sz w:val="22"/>
                <w:szCs w:val="28"/>
                <w:u w:val="none"/>
              </w:rPr>
            </w:pPr>
            <w:r>
              <w:rPr>
                <w:rFonts w:hint="eastAsia" w:ascii="仿宋_GB2312" w:hAnsi="仿宋_GB2312" w:eastAsia="仿宋_GB2312" w:cs="仿宋_GB2312"/>
                <w:spacing w:val="-17"/>
                <w:sz w:val="22"/>
                <w:szCs w:val="28"/>
                <w:u w:val="none"/>
              </w:rPr>
              <w:t>市纪委监委</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kern w:val="0"/>
                <w:sz w:val="21"/>
                <w:szCs w:val="21"/>
                <w:u w:val="none"/>
                <w:lang w:bidi="ar"/>
              </w:rPr>
            </w:pPr>
            <w:r>
              <w:rPr>
                <w:rFonts w:hint="eastAsia" w:ascii="仿宋_GB2312" w:hAnsi="宋体" w:eastAsia="仿宋_GB2312" w:cs="仿宋_GB2312"/>
                <w:kern w:val="0"/>
                <w:sz w:val="21"/>
                <w:szCs w:val="21"/>
                <w:u w:val="none"/>
                <w:lang w:bidi="ar"/>
              </w:rPr>
              <w:t>综合保障中心</w:t>
            </w:r>
          </w:p>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sz w:val="22"/>
                <w:szCs w:val="28"/>
              </w:rPr>
            </w:pPr>
            <w:r>
              <w:rPr>
                <w:rFonts w:hint="default" w:ascii="仿宋_GB2312" w:hAnsi="宋体" w:eastAsia="仿宋_GB2312" w:cs="仿宋_GB2312"/>
                <w:kern w:val="0"/>
                <w:sz w:val="21"/>
                <w:szCs w:val="21"/>
                <w:u w:val="none"/>
                <w:lang w:bidi="ar"/>
              </w:rPr>
              <w:t>（公益一类）</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仿宋_GB2312"/>
                <w:kern w:val="0"/>
                <w:sz w:val="21"/>
                <w:szCs w:val="21"/>
                <w:u w:val="none"/>
                <w:lang w:bidi="ar"/>
              </w:rPr>
            </w:pPr>
            <w:r>
              <w:rPr>
                <w:rFonts w:hint="eastAsia" w:ascii="仿宋_GB2312" w:hAnsi="宋体" w:eastAsia="仿宋_GB2312" w:cs="仿宋_GB2312"/>
                <w:kern w:val="0"/>
                <w:sz w:val="21"/>
                <w:szCs w:val="21"/>
                <w:u w:val="none"/>
                <w:lang w:bidi="ar"/>
              </w:rPr>
              <w:t>纪检监察岗位</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仿宋_GB2312"/>
                <w:kern w:val="0"/>
                <w:sz w:val="21"/>
                <w:szCs w:val="21"/>
                <w:u w:val="none"/>
                <w:lang w:bidi="ar"/>
              </w:rPr>
            </w:pPr>
            <w:r>
              <w:rPr>
                <w:rFonts w:hint="default" w:ascii="仿宋_GB2312" w:hAnsi="宋体" w:eastAsia="仿宋_GB2312" w:cs="仿宋_GB2312"/>
                <w:kern w:val="0"/>
                <w:sz w:val="21"/>
                <w:szCs w:val="21"/>
                <w:u w:val="none"/>
                <w:lang w:bidi="ar"/>
              </w:rPr>
              <w:t>6</w:t>
            </w:r>
          </w:p>
        </w:tc>
        <w:tc>
          <w:tcPr>
            <w:tcW w:w="3983"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textAlignment w:val="center"/>
              <w:rPr>
                <w:rFonts w:hint="eastAsia" w:ascii="仿宋_GB2312" w:hAnsi="宋体" w:eastAsia="仿宋_GB2312" w:cs="仿宋_GB2312"/>
                <w:sz w:val="21"/>
                <w:szCs w:val="21"/>
                <w:u w:val="none"/>
                <w:lang w:eastAsia="zh-CN"/>
              </w:rPr>
            </w:pPr>
            <w:r>
              <w:rPr>
                <w:rFonts w:hint="default" w:ascii="仿宋_GB2312" w:hAnsi="宋体" w:eastAsia="仿宋_GB2312" w:cs="仿宋_GB2312"/>
                <w:sz w:val="21"/>
                <w:szCs w:val="21"/>
                <w:u w:val="none"/>
              </w:rPr>
              <w:t>须取得“30所高校”硕士研究生及以上学历学位（本科也须为“30所高校”毕业生）；取得北京大学、清华大学、哈尔滨工业大学、复旦大学、上海交通大学、南京大学、浙江大学、中国科学技术大学、西安交通大学本科或研究生学历学位的也可报名</w:t>
            </w:r>
            <w:r>
              <w:rPr>
                <w:rFonts w:hint="eastAsia" w:ascii="仿宋_GB2312" w:hAnsi="宋体" w:eastAsia="仿宋_GB2312" w:cs="仿宋_GB2312"/>
                <w:sz w:val="21"/>
                <w:szCs w:val="21"/>
                <w:u w:val="none"/>
                <w:lang w:eastAsia="zh-CN"/>
              </w:rPr>
              <w:t>。</w:t>
            </w:r>
          </w:p>
        </w:tc>
        <w:tc>
          <w:tcPr>
            <w:tcW w:w="12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kern w:val="0"/>
                <w:sz w:val="21"/>
                <w:szCs w:val="21"/>
                <w:u w:val="none"/>
                <w:lang w:bidi="ar"/>
              </w:rPr>
            </w:pPr>
            <w:r>
              <w:rPr>
                <w:rFonts w:hint="eastAsia" w:ascii="仿宋_GB2312" w:hAnsi="宋体" w:eastAsia="仿宋_GB2312" w:cs="仿宋_GB2312"/>
                <w:kern w:val="0"/>
                <w:sz w:val="21"/>
                <w:szCs w:val="21"/>
                <w:u w:val="none"/>
                <w:lang w:bidi="ar"/>
              </w:rPr>
              <w:t>取得报名</w:t>
            </w:r>
            <w:r>
              <w:rPr>
                <w:rFonts w:hint="default" w:ascii="仿宋_GB2312" w:hAnsi="宋体" w:eastAsia="仿宋_GB2312" w:cs="仿宋_GB2312"/>
                <w:kern w:val="0"/>
                <w:sz w:val="21"/>
                <w:szCs w:val="21"/>
                <w:u w:val="none"/>
                <w:lang w:bidi="ar"/>
              </w:rPr>
              <w:t>专业</w:t>
            </w:r>
            <w:r>
              <w:rPr>
                <w:rFonts w:hint="eastAsia" w:ascii="仿宋_GB2312" w:hAnsi="宋体" w:eastAsia="仿宋_GB2312" w:cs="仿宋_GB2312"/>
                <w:kern w:val="0"/>
                <w:sz w:val="21"/>
                <w:szCs w:val="21"/>
                <w:u w:val="none"/>
                <w:lang w:bidi="ar"/>
              </w:rPr>
              <w:t>相应学位</w:t>
            </w:r>
          </w:p>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宋体" w:eastAsia="仿宋_GB2312" w:cs="仿宋_GB2312"/>
                <w:sz w:val="21"/>
                <w:szCs w:val="21"/>
                <w:u w:val="none"/>
              </w:rPr>
            </w:pPr>
          </w:p>
        </w:tc>
        <w:tc>
          <w:tcPr>
            <w:tcW w:w="32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sz w:val="22"/>
                <w:szCs w:val="28"/>
              </w:rPr>
            </w:pPr>
            <w:r>
              <w:rPr>
                <w:rFonts w:hint="default" w:ascii="仿宋_GB2312" w:hAnsi="仿宋_GB2312" w:eastAsia="仿宋_GB2312" w:cs="仿宋_GB2312"/>
                <w:spacing w:val="-17"/>
                <w:u w:val="none"/>
              </w:rPr>
              <w:t>经济学门类（02）、法学门类（03）、历史学门类（06）、理学门类（07）、工学门类（08）、农学门类（09）、医学门类（10）、管理学门类（12）</w:t>
            </w:r>
          </w:p>
        </w:tc>
      </w:tr>
      <w:tr>
        <w:tblPrEx>
          <w:tblCellMar>
            <w:top w:w="0" w:type="dxa"/>
            <w:left w:w="108" w:type="dxa"/>
            <w:bottom w:w="0" w:type="dxa"/>
            <w:right w:w="108" w:type="dxa"/>
          </w:tblCellMar>
        </w:tblPrEx>
        <w:trPr>
          <w:trHeight w:val="1152"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pacing w:val="-17"/>
                <w:sz w:val="22"/>
                <w:szCs w:val="28"/>
                <w:u w:val="none"/>
              </w:rPr>
            </w:pPr>
            <w:r>
              <w:rPr>
                <w:rFonts w:hint="eastAsia" w:ascii="仿宋_GB2312" w:hAnsi="仿宋_GB2312" w:eastAsia="仿宋_GB2312" w:cs="仿宋_GB2312"/>
                <w:spacing w:val="-17"/>
                <w:sz w:val="22"/>
                <w:szCs w:val="28"/>
                <w:u w:val="none"/>
              </w:rPr>
              <w:t>呼和浩特</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pacing w:val="-17"/>
                <w:sz w:val="22"/>
                <w:szCs w:val="28"/>
                <w:u w:val="none"/>
              </w:rPr>
            </w:pPr>
            <w:r>
              <w:rPr>
                <w:rFonts w:hint="eastAsia" w:ascii="仿宋_GB2312" w:hAnsi="仿宋_GB2312" w:eastAsia="仿宋_GB2312" w:cs="仿宋_GB2312"/>
                <w:spacing w:val="-17"/>
                <w:sz w:val="22"/>
                <w:szCs w:val="28"/>
                <w:u w:val="none"/>
              </w:rPr>
              <w:t>市纪委监委</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kern w:val="0"/>
                <w:sz w:val="21"/>
                <w:szCs w:val="21"/>
                <w:u w:val="none"/>
                <w:lang w:bidi="ar"/>
              </w:rPr>
            </w:pPr>
            <w:r>
              <w:rPr>
                <w:rFonts w:hint="eastAsia" w:ascii="仿宋_GB2312" w:hAnsi="宋体" w:eastAsia="仿宋_GB2312" w:cs="仿宋_GB2312"/>
                <w:kern w:val="0"/>
                <w:sz w:val="21"/>
                <w:szCs w:val="21"/>
                <w:u w:val="none"/>
                <w:lang w:bidi="ar"/>
              </w:rPr>
              <w:t>廉政教育中心</w:t>
            </w:r>
          </w:p>
          <w:p>
            <w:pPr>
              <w:keepNext w:val="0"/>
              <w:keepLines w:val="0"/>
              <w:pageBreakBefore w:val="0"/>
              <w:widowControl/>
              <w:kinsoku/>
              <w:wordWrap/>
              <w:overflowPunct/>
              <w:topLinePunct w:val="0"/>
              <w:autoSpaceDE/>
              <w:autoSpaceDN/>
              <w:bidi w:val="0"/>
              <w:adjustRightInd/>
              <w:snapToGrid/>
              <w:spacing w:line="0" w:lineRule="atLeast"/>
              <w:jc w:val="center"/>
              <w:textAlignment w:val="center"/>
              <w:rPr>
                <w:sz w:val="22"/>
                <w:szCs w:val="28"/>
              </w:rPr>
            </w:pPr>
            <w:r>
              <w:rPr>
                <w:rFonts w:hint="default" w:ascii="仿宋_GB2312" w:hAnsi="宋体" w:eastAsia="仿宋_GB2312" w:cs="仿宋_GB2312"/>
                <w:kern w:val="0"/>
                <w:sz w:val="21"/>
                <w:szCs w:val="21"/>
                <w:u w:val="none"/>
                <w:lang w:bidi="ar"/>
              </w:rPr>
              <w:t>（公益一类）</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仿宋_GB2312"/>
                <w:kern w:val="0"/>
                <w:sz w:val="21"/>
                <w:szCs w:val="21"/>
                <w:u w:val="none"/>
                <w:lang w:bidi="ar"/>
              </w:rPr>
            </w:pPr>
            <w:r>
              <w:rPr>
                <w:rFonts w:hint="eastAsia" w:ascii="仿宋_GB2312" w:hAnsi="宋体" w:eastAsia="仿宋_GB2312" w:cs="仿宋_GB2312"/>
                <w:kern w:val="0"/>
                <w:sz w:val="21"/>
                <w:szCs w:val="21"/>
                <w:u w:val="none"/>
                <w:lang w:bidi="ar"/>
              </w:rPr>
              <w:t>纪检监察岗位</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仿宋_GB2312"/>
                <w:kern w:val="0"/>
                <w:sz w:val="21"/>
                <w:szCs w:val="21"/>
                <w:u w:val="none"/>
                <w:lang w:bidi="ar"/>
              </w:rPr>
            </w:pPr>
            <w:r>
              <w:rPr>
                <w:rFonts w:hint="default" w:ascii="仿宋_GB2312" w:hAnsi="宋体" w:eastAsia="仿宋_GB2312" w:cs="仿宋_GB2312"/>
                <w:kern w:val="0"/>
                <w:sz w:val="21"/>
                <w:szCs w:val="21"/>
                <w:u w:val="none"/>
                <w:lang w:bidi="ar"/>
              </w:rPr>
              <w:t>5</w:t>
            </w:r>
          </w:p>
        </w:tc>
        <w:tc>
          <w:tcPr>
            <w:tcW w:w="398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宋体" w:eastAsia="仿宋_GB2312" w:cs="仿宋_GB2312"/>
                <w:kern w:val="0"/>
                <w:sz w:val="20"/>
                <w:szCs w:val="20"/>
                <w:u w:val="none"/>
                <w:lang w:bidi="ar"/>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宋体" w:eastAsia="仿宋_GB2312" w:cs="仿宋_GB2312"/>
                <w:kern w:val="0"/>
                <w:sz w:val="20"/>
                <w:szCs w:val="20"/>
                <w:u w:val="none"/>
                <w:lang w:bidi="ar"/>
              </w:rPr>
            </w:pPr>
          </w:p>
        </w:tc>
        <w:tc>
          <w:tcPr>
            <w:tcW w:w="32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仿宋_GB2312" w:hAnsi="仿宋_GB2312" w:eastAsia="仿宋_GB2312" w:cs="仿宋_GB2312"/>
                <w:spacing w:val="-17"/>
                <w:u w:val="none"/>
              </w:rPr>
            </w:pPr>
            <w:r>
              <w:rPr>
                <w:rFonts w:hint="default" w:ascii="仿宋_GB2312" w:hAnsi="宋体" w:eastAsia="仿宋_GB2312" w:cs="仿宋_GB2312"/>
                <w:kern w:val="0"/>
                <w:sz w:val="21"/>
                <w:szCs w:val="21"/>
                <w:u w:val="none"/>
                <w:lang w:bidi="ar"/>
              </w:rPr>
              <w:t>哲学门类</w:t>
            </w:r>
            <w:r>
              <w:rPr>
                <w:rFonts w:hint="eastAsia" w:ascii="仿宋_GB2312" w:hAnsi="仿宋_GB2312" w:eastAsia="仿宋_GB2312" w:cs="仿宋_GB2312"/>
                <w:spacing w:val="-17"/>
                <w:u w:val="none"/>
              </w:rPr>
              <w:t>（01）</w:t>
            </w:r>
            <w:r>
              <w:rPr>
                <w:rFonts w:hint="default" w:ascii="仿宋_GB2312" w:hAnsi="仿宋_GB2312" w:eastAsia="仿宋_GB2312" w:cs="仿宋_GB2312"/>
                <w:spacing w:val="-17"/>
                <w:u w:val="none"/>
              </w:rPr>
              <w:t>、经济学门类（02）、法学门类（03）、教育学门类（04）、文学门类（05）、理学门类（07）、工学门类（08）、艺术学门类（13）</w:t>
            </w:r>
          </w:p>
        </w:tc>
      </w:tr>
    </w:tbl>
    <w:p>
      <w:pPr>
        <w:spacing w:line="0" w:lineRule="atLeast"/>
        <w:rPr>
          <w:rFonts w:hint="eastAsia" w:ascii="仿宋_GB2312" w:hAnsi="仿宋_GB2312" w:eastAsia="仿宋_GB2312" w:cs="仿宋_GB2312"/>
          <w:spacing w:val="-17"/>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仿宋_GB2312" w:hAnsi="仿宋_GB2312" w:eastAsia="仿宋_GB2312" w:cs="仿宋_GB2312"/>
          <w:spacing w:val="-17"/>
        </w:rPr>
      </w:pPr>
      <w:r>
        <w:rPr>
          <w:rFonts w:hint="eastAsia" w:ascii="仿宋_GB2312" w:hAnsi="仿宋_GB2312" w:eastAsia="仿宋_GB2312" w:cs="仿宋_GB2312"/>
          <w:b/>
          <w:bCs/>
          <w:spacing w:val="-17"/>
        </w:rPr>
        <w:t>备注</w:t>
      </w:r>
      <w:r>
        <w:rPr>
          <w:rFonts w:ascii="仿宋_GB2312" w:hAnsi="仿宋_GB2312" w:eastAsia="仿宋_GB2312" w:cs="仿宋_GB2312"/>
          <w:b/>
          <w:bCs/>
          <w:spacing w:val="-17"/>
        </w:rPr>
        <w:t>：</w:t>
      </w:r>
      <w:r>
        <w:rPr>
          <w:rFonts w:hint="default" w:ascii="仿宋_GB2312" w:hAnsi="仿宋_GB2312" w:eastAsia="仿宋_GB2312" w:cs="仿宋_GB2312"/>
          <w:spacing w:val="-17"/>
        </w:rPr>
        <w:t>1.“30所</w:t>
      </w:r>
      <w:r>
        <w:rPr>
          <w:rFonts w:ascii="仿宋_GB2312" w:hAnsi="仿宋_GB2312" w:eastAsia="仿宋_GB2312" w:cs="仿宋_GB2312"/>
          <w:spacing w:val="-17"/>
        </w:rPr>
        <w:t>高校</w:t>
      </w:r>
      <w:r>
        <w:rPr>
          <w:rFonts w:hint="default" w:ascii="仿宋_GB2312" w:hAnsi="仿宋_GB2312" w:eastAsia="仿宋_GB2312" w:cs="仿宋_GB2312"/>
          <w:spacing w:val="-17"/>
        </w:rPr>
        <w:t>”：中国人民大学、北京航空航天大学、北京理工大学、中国农业大学、北京师范大学、中央民族大学、南开大学、天津大学、大连理工大学、东北大学、吉林大学、同济大学、华东师范大学、东南大学、厦门大学、山东大学、中国海洋大学、武汉大学、华中科技大学、湖南大学、中南大学、中山大学、华南理工大学、四川大学、重庆大学、电子科技大学、西北工业大学、西北农林科技大学、兰州大学、国防科技大学（按学校</w:t>
      </w:r>
      <w:bookmarkStart w:id="0" w:name="_GoBack"/>
      <w:bookmarkEnd w:id="0"/>
      <w:r>
        <w:rPr>
          <w:rFonts w:hint="default" w:ascii="仿宋_GB2312" w:hAnsi="仿宋_GB2312" w:eastAsia="仿宋_GB2312" w:cs="仿宋_GB2312"/>
          <w:spacing w:val="-17"/>
        </w:rPr>
        <w:t>代码排序）。</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rPr>
      </w:pPr>
      <w:r>
        <w:rPr>
          <w:rFonts w:hint="default" w:ascii="仿宋_GB2312" w:hAnsi="仿宋_GB2312" w:eastAsia="仿宋_GB2312" w:cs="仿宋_GB2312"/>
          <w:spacing w:val="-17"/>
        </w:rPr>
        <w:t>2.有关岗位专业条件参考教育部公布的《普通高等学校本科专业目录（2020年版）》及后续增补的专业；参照教育部学生服务与素质发展中心主办的研招网专业库（https://yz.chsi.com.cn/zyk）。</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仿宋_GB2312" w:hAnsi="仿宋_GB2312" w:eastAsia="仿宋_GB2312" w:cs="仿宋_GB2312"/>
          <w:spacing w:val="-17"/>
        </w:rPr>
      </w:pPr>
      <w:r>
        <w:rPr>
          <w:rFonts w:hint="default" w:ascii="仿宋_GB2312" w:hAnsi="仿宋_GB2312" w:eastAsia="仿宋_GB2312" w:cs="仿宋_GB2312"/>
          <w:spacing w:val="-17"/>
        </w:rPr>
        <w:t>3.择业期内未就业的毕业生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p>
    <w:p>
      <w:pPr>
        <w:pStyle w:val="2"/>
        <w:rPr>
          <w:rFonts w:hint="default" w:ascii="仿宋_GB2312" w:hAnsi="仿宋_GB2312" w:eastAsia="仿宋_GB2312" w:cs="仿宋_GB2312"/>
          <w:spacing w:val="-17"/>
          <w:lang w:val="en-US" w:eastAsia="zh-CN"/>
        </w:rPr>
      </w:pPr>
      <w:r>
        <w:rPr>
          <w:rFonts w:hint="default" w:ascii="仿宋_GB2312" w:hAnsi="仿宋_GB2312" w:eastAsia="仿宋_GB2312" w:cs="仿宋_GB2312"/>
          <w:spacing w:val="-17"/>
          <w:kern w:val="2"/>
          <w:sz w:val="21"/>
          <w:szCs w:val="24"/>
          <w:lang w:eastAsia="zh-CN" w:bidi="ar-SA"/>
        </w:rPr>
        <w:t>4</w:t>
      </w:r>
      <w:r>
        <w:rPr>
          <w:rFonts w:hint="eastAsia" w:ascii="仿宋_GB2312" w:hAnsi="仿宋_GB2312" w:eastAsia="仿宋_GB2312" w:cs="仿宋_GB2312"/>
          <w:spacing w:val="-17"/>
          <w:kern w:val="2"/>
          <w:sz w:val="21"/>
          <w:szCs w:val="24"/>
          <w:lang w:val="en-US" w:eastAsia="zh-CN" w:bidi="ar-SA"/>
        </w:rPr>
        <w:t>.</w:t>
      </w:r>
      <w:r>
        <w:rPr>
          <w:rFonts w:hint="eastAsia"/>
          <w:lang w:val="en-US" w:eastAsia="zh-CN"/>
        </w:rPr>
        <w:t>政</w:t>
      </w:r>
      <w:r>
        <w:rPr>
          <w:rFonts w:hint="eastAsia" w:ascii="仿宋_GB2312" w:hAnsi="仿宋_GB2312" w:eastAsia="仿宋_GB2312" w:cs="仿宋_GB2312"/>
          <w:spacing w:val="-17"/>
          <w:kern w:val="2"/>
          <w:sz w:val="21"/>
          <w:szCs w:val="24"/>
          <w:lang w:val="en-US" w:eastAsia="zh-CN" w:bidi="ar-SA"/>
        </w:rPr>
        <w:t>策咨询电话：0471-4606436、0471-4607835；监督举报电话：0471-4606431</w:t>
      </w:r>
    </w:p>
    <w:p>
      <w:pPr>
        <w:pStyle w:val="2"/>
        <w:wordWrap/>
        <w:rPr>
          <w:rFonts w:hint="default" w:ascii="方正仿宋_GBK" w:hAnsi="方正仿宋_GBK" w:eastAsia="方正仿宋_GBK"/>
          <w:sz w:val="36"/>
          <w:szCs w:val="28"/>
          <w:u w:val="none"/>
          <w:lang w:val="en-US" w:eastAsia="zh-CN"/>
        </w:rPr>
      </w:pPr>
    </w:p>
    <w:p/>
    <w:sectPr>
      <w:footerReference r:id="rId3" w:type="default"/>
      <w:pgSz w:w="16838" w:h="11906" w:orient="landscape"/>
      <w:pgMar w:top="1247" w:right="1474" w:bottom="1247" w:left="1587" w:header="851" w:footer="992" w:gutter="0"/>
      <w:pgNumType w:fmt="decimal" w:start="11"/>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DM2MDExOGJlZWYzODNlZjQwNmI4OTRkNzhlYTIifQ=="/>
  </w:docVars>
  <w:rsids>
    <w:rsidRoot w:val="71DE183E"/>
    <w:rsid w:val="501D7565"/>
    <w:rsid w:val="71DE1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2022-09-15T01:28:00Z</dcterms:created>
  <dc:creator>＊吕玥玥玥玥玥儿吖</dc:creator>
  <cp:lastModifiedBy>＊吕玥玥玥玥玥儿吖</cp:lastModifiedBy>
  <dcterms:modified xsi:type="dcterms:W3CDTF">2022-09-15T01:56:40Z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D3461DE08AEF4632814C28D66A5CFA63</vt:lpwstr>
  </property>
</Properties>
</file>