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ind w:firstLine="320" w:firstLineChars="100"/>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hint="eastAsia" w:ascii="黑体" w:hAnsi="黑体" w:eastAsia="黑体" w:cs="黑体"/>
          <w:b w:val="0"/>
          <w:bCs w:val="0"/>
          <w:sz w:val="40"/>
          <w:szCs w:val="40"/>
        </w:rPr>
      </w:pPr>
      <w:r>
        <w:rPr>
          <w:rFonts w:hint="eastAsia" w:ascii="黑体" w:hAnsi="黑体" w:eastAsia="黑体" w:cs="黑体"/>
          <w:b w:val="0"/>
          <w:bCs w:val="0"/>
          <w:sz w:val="40"/>
          <w:szCs w:val="40"/>
        </w:rPr>
        <w:t>202</w:t>
      </w:r>
      <w:r>
        <w:rPr>
          <w:rFonts w:hint="default" w:ascii="黑体" w:hAnsi="黑体" w:eastAsia="黑体" w:cs="黑体"/>
          <w:b w:val="0"/>
          <w:bCs w:val="0"/>
          <w:sz w:val="40"/>
          <w:szCs w:val="40"/>
        </w:rPr>
        <w:t>2</w:t>
      </w:r>
      <w:r>
        <w:rPr>
          <w:rFonts w:hint="eastAsia" w:ascii="黑体" w:hAnsi="黑体" w:eastAsia="黑体" w:cs="黑体"/>
          <w:b w:val="0"/>
          <w:bCs w:val="0"/>
          <w:sz w:val="40"/>
          <w:szCs w:val="40"/>
        </w:rPr>
        <w:t>年东昌府区</w:t>
      </w:r>
      <w:r>
        <w:rPr>
          <w:rFonts w:hint="eastAsia" w:ascii="黑体" w:hAnsi="黑体" w:eastAsia="黑体" w:cs="黑体"/>
          <w:b w:val="0"/>
          <w:bCs w:val="0"/>
          <w:sz w:val="40"/>
          <w:szCs w:val="40"/>
          <w:lang w:eastAsia="zh-CN"/>
        </w:rPr>
        <w:t>卫生健康</w:t>
      </w:r>
      <w:r>
        <w:rPr>
          <w:rFonts w:hint="eastAsia" w:ascii="黑体" w:hAnsi="黑体" w:eastAsia="黑体" w:cs="黑体"/>
          <w:b w:val="0"/>
          <w:bCs w:val="0"/>
          <w:sz w:val="40"/>
          <w:szCs w:val="40"/>
        </w:rPr>
        <w:t>事业</w:t>
      </w:r>
    </w:p>
    <w:p>
      <w:pPr>
        <w:spacing w:line="700" w:lineRule="exact"/>
        <w:jc w:val="center"/>
        <w:rPr>
          <w:rFonts w:ascii="仿宋_GB2312" w:hAnsi="仿宋" w:eastAsia="仿宋_GB2312" w:cs="仿宋"/>
          <w:b w:val="0"/>
          <w:bCs w:val="0"/>
          <w:color w:val="000000"/>
          <w:sz w:val="32"/>
          <w:szCs w:val="32"/>
        </w:rPr>
      </w:pPr>
      <w:r>
        <w:rPr>
          <w:rFonts w:hint="eastAsia" w:ascii="黑体" w:hAnsi="黑体" w:eastAsia="黑体" w:cs="黑体"/>
          <w:b w:val="0"/>
          <w:bCs w:val="0"/>
          <w:sz w:val="40"/>
          <w:szCs w:val="40"/>
        </w:rPr>
        <w:t>单位公开招聘工作人员应聘须知</w:t>
      </w:r>
    </w:p>
    <w:p>
      <w:pPr>
        <w:spacing w:line="560" w:lineRule="exact"/>
        <w:ind w:firstLine="642" w:firstLineChars="200"/>
        <w:rPr>
          <w:rFonts w:ascii="楷体_GB2312" w:eastAsia="楷体_GB2312"/>
          <w:b/>
          <w:sz w:val="32"/>
          <w:szCs w:val="20"/>
        </w:rPr>
      </w:pP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1.哪些人员可以应聘?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按照事业单位公开招聘的相关规定，凡符合《202</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年东昌府区</w:t>
      </w:r>
      <w:r>
        <w:rPr>
          <w:rFonts w:hint="eastAsia" w:ascii="仿宋_GB2312" w:hAnsi="仿宋" w:eastAsia="仿宋_GB2312" w:cs="仿宋"/>
          <w:bCs/>
          <w:sz w:val="32"/>
          <w:szCs w:val="32"/>
          <w:lang w:eastAsia="zh-CN"/>
        </w:rPr>
        <w:t>卫生健康</w:t>
      </w:r>
      <w:r>
        <w:rPr>
          <w:rFonts w:hint="eastAsia" w:ascii="仿宋_GB2312" w:hAnsi="仿宋" w:eastAsia="仿宋_GB2312" w:cs="仿宋"/>
          <w:bCs/>
          <w:sz w:val="32"/>
          <w:szCs w:val="32"/>
        </w:rPr>
        <w:t>事业单位公开招聘工作人员简章》(以下简称《简章》)规定的条件及招聘岗位资格条件者，均可应聘。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eastAsia="楷体_GB2312"/>
          <w:b/>
          <w:bCs/>
          <w:sz w:val="32"/>
          <w:szCs w:val="32"/>
        </w:rPr>
      </w:pPr>
      <w:r>
        <w:rPr>
          <w:rFonts w:hint="eastAsia" w:eastAsia="楷体_GB2312"/>
          <w:b/>
          <w:bCs/>
          <w:sz w:val="32"/>
          <w:szCs w:val="32"/>
        </w:rPr>
        <w:t>2.东昌府区行政辖区的具体范围是什么？</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嘉明经济开发区</w:t>
      </w:r>
      <w:r>
        <w:rPr>
          <w:rFonts w:hint="eastAsia" w:ascii="仿宋_GB2312" w:hAnsi="仿宋" w:eastAsia="仿宋_GB2312" w:cs="仿宋"/>
          <w:bCs/>
          <w:sz w:val="32"/>
          <w:szCs w:val="32"/>
          <w:lang w:eastAsia="zh-CN"/>
        </w:rPr>
        <w:t>、原</w:t>
      </w:r>
      <w:r>
        <w:rPr>
          <w:rFonts w:hint="eastAsia" w:ascii="仿宋_GB2312" w:hAnsi="仿宋" w:eastAsia="仿宋_GB2312" w:cs="仿宋"/>
          <w:bCs/>
          <w:sz w:val="32"/>
          <w:szCs w:val="32"/>
        </w:rPr>
        <w:t>凤凰工业园。</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3.东昌府区行政辖区户籍有何具体要求？</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须本人具有东昌府区行政辖区常驻户籍，常驻户籍迁入时间截止到202</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10</w:t>
      </w:r>
      <w:r>
        <w:rPr>
          <w:rFonts w:hint="eastAsia" w:ascii="仿宋_GB2312" w:hAnsi="仿宋" w:eastAsia="仿宋_GB2312" w:cs="仿宋"/>
          <w:bCs/>
          <w:sz w:val="32"/>
          <w:szCs w:val="32"/>
        </w:rPr>
        <w:t>月</w:t>
      </w:r>
      <w:r>
        <w:rPr>
          <w:rFonts w:hint="default" w:ascii="仿宋_GB2312" w:hAnsi="仿宋" w:eastAsia="仿宋_GB2312" w:cs="仿宋"/>
          <w:bCs/>
          <w:sz w:val="32"/>
          <w:szCs w:val="32"/>
          <w:lang w:val="en" w:eastAsia="zh-CN"/>
        </w:rPr>
        <w:t>10</w:t>
      </w:r>
      <w:r>
        <w:rPr>
          <w:rFonts w:hint="eastAsia" w:ascii="仿宋_GB2312" w:hAnsi="仿宋" w:eastAsia="仿宋_GB2312" w:cs="仿宋"/>
          <w:bCs/>
          <w:sz w:val="32"/>
          <w:szCs w:val="32"/>
        </w:rPr>
        <w:t>日。</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4.非普通高等学历教育的其他教育形式的毕业生是否可以应聘？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5.“应届毕业生”如何界定？</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本次招聘中的“应届毕业生”，是指国内普通高等学校或承担研究生教育任务的科学研究机构中，</w:t>
      </w:r>
      <w:r>
        <w:rPr>
          <w:rFonts w:hint="eastAsia" w:ascii="仿宋_GB2312" w:hAnsi="仿宋_GB2312" w:eastAsia="仿宋_GB2312" w:cs="仿宋_GB2312"/>
          <w:color w:val="000000"/>
          <w:sz w:val="32"/>
          <w:szCs w:val="32"/>
        </w:rPr>
        <w:t>由</w:t>
      </w:r>
      <w:r>
        <w:rPr>
          <w:rFonts w:ascii="仿宋_GB2312" w:hAnsi="仿宋_GB2312" w:eastAsia="仿宋_GB2312" w:cs="仿宋_GB2312"/>
          <w:color w:val="000000"/>
          <w:sz w:val="32"/>
          <w:szCs w:val="32"/>
        </w:rPr>
        <w:t>国家统一招生且就读期间个人档案保管在</w:t>
      </w:r>
      <w:r>
        <w:rPr>
          <w:rFonts w:hint="eastAsia" w:ascii="仿宋_GB2312" w:hAnsi="仿宋_GB2312" w:eastAsia="仿宋_GB2312" w:cs="仿宋_GB2312"/>
          <w:color w:val="000000"/>
          <w:sz w:val="32"/>
          <w:szCs w:val="32"/>
        </w:rPr>
        <w:t>就读</w:t>
      </w:r>
      <w:r>
        <w:rPr>
          <w:rFonts w:ascii="仿宋_GB2312" w:hAnsi="仿宋_GB2312" w:eastAsia="仿宋_GB2312" w:cs="仿宋_GB2312"/>
          <w:color w:val="000000"/>
          <w:sz w:val="32"/>
          <w:szCs w:val="32"/>
        </w:rPr>
        <w:t>院校</w:t>
      </w:r>
      <w:r>
        <w:rPr>
          <w:rFonts w:hint="eastAsia" w:ascii="仿宋_GB2312" w:hAnsi="仿宋_GB2312" w:eastAsia="仿宋_GB2312" w:cs="仿宋_GB2312"/>
          <w:color w:val="000000"/>
          <w:sz w:val="32"/>
          <w:szCs w:val="32"/>
        </w:rPr>
        <w:t>（或科研机构），并于</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年毕业</w:t>
      </w:r>
      <w:r>
        <w:rPr>
          <w:rFonts w:hint="eastAsia" w:ascii="仿宋_GB2312" w:hAnsi="仿宋_GB2312" w:eastAsia="仿宋_GB2312" w:cs="仿宋_GB2312"/>
          <w:color w:val="000000"/>
          <w:sz w:val="32"/>
          <w:szCs w:val="32"/>
        </w:rPr>
        <w:t>的学</w:t>
      </w:r>
      <w:r>
        <w:rPr>
          <w:rFonts w:ascii="仿宋_GB2312" w:hAnsi="仿宋_GB2312" w:eastAsia="仿宋_GB2312" w:cs="仿宋_GB2312"/>
          <w:color w:val="000000"/>
          <w:sz w:val="32"/>
          <w:szCs w:val="32"/>
        </w:rPr>
        <w:t>生。</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6.20</w:t>
      </w:r>
      <w:r>
        <w:rPr>
          <w:rFonts w:hint="eastAsia" w:eastAsia="楷体_GB2312"/>
          <w:b/>
          <w:bCs/>
          <w:sz w:val="32"/>
          <w:szCs w:val="32"/>
          <w:lang w:val="en-US" w:eastAsia="zh-CN"/>
        </w:rPr>
        <w:t>20</w:t>
      </w:r>
      <w:r>
        <w:rPr>
          <w:rFonts w:hint="eastAsia" w:eastAsia="楷体_GB2312"/>
          <w:b/>
          <w:bCs/>
          <w:sz w:val="32"/>
          <w:szCs w:val="32"/>
        </w:rPr>
        <w:t>年、202</w:t>
      </w:r>
      <w:r>
        <w:rPr>
          <w:rFonts w:hint="eastAsia" w:eastAsia="楷体_GB2312"/>
          <w:b/>
          <w:bCs/>
          <w:sz w:val="32"/>
          <w:szCs w:val="32"/>
          <w:lang w:val="en-US" w:eastAsia="zh-CN"/>
        </w:rPr>
        <w:t>1</w:t>
      </w:r>
      <w:r>
        <w:rPr>
          <w:rFonts w:hint="eastAsia" w:eastAsia="楷体_GB2312"/>
          <w:b/>
          <w:bCs/>
          <w:sz w:val="32"/>
          <w:szCs w:val="32"/>
        </w:rPr>
        <w:t>年普通高校毕业生是否能以应届毕业生的身份应聘？</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
          <w:sz w:val="32"/>
          <w:szCs w:val="32"/>
        </w:rPr>
      </w:pPr>
      <w:r>
        <w:rPr>
          <w:rFonts w:ascii="仿宋_GB2312" w:hAnsi="仿宋_GB2312" w:eastAsia="仿宋_GB2312" w:cs="仿宋_GB2312"/>
          <w:color w:val="000000"/>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7.如何理解“在读的非应届毕业生”不得应聘？</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“在读的非应届毕业生”，是指正在就读的国内普通高等学历教育学生和国（境）外留学</w:t>
      </w:r>
      <w:r>
        <w:rPr>
          <w:rFonts w:hint="eastAsia" w:ascii="仿宋_GB2312" w:hAnsi="仿宋_GB2312" w:eastAsia="仿宋_GB2312" w:cs="仿宋_GB2312"/>
          <w:color w:val="000000"/>
          <w:sz w:val="32"/>
          <w:szCs w:val="32"/>
        </w:rPr>
        <w:t>回国</w:t>
      </w:r>
      <w:r>
        <w:rPr>
          <w:rFonts w:ascii="仿宋_GB2312" w:hAnsi="仿宋_GB2312" w:eastAsia="仿宋_GB2312" w:cs="仿宋_GB2312"/>
          <w:color w:val="000000"/>
          <w:sz w:val="32"/>
          <w:szCs w:val="32"/>
        </w:rPr>
        <w:t>人员于202</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年7月</w:t>
      </w:r>
      <w:r>
        <w:rPr>
          <w:rFonts w:hint="eastAsia" w:ascii="仿宋_GB2312" w:hAnsi="仿宋_GB2312" w:eastAsia="仿宋_GB2312" w:cs="仿宋_GB2312"/>
          <w:color w:val="000000"/>
          <w:sz w:val="32"/>
          <w:szCs w:val="32"/>
          <w:lang w:val="en-US" w:eastAsia="zh-CN"/>
        </w:rPr>
        <w:t>31</w:t>
      </w:r>
      <w:r>
        <w:rPr>
          <w:rFonts w:ascii="仿宋_GB2312" w:hAnsi="仿宋_GB2312" w:eastAsia="仿宋_GB2312" w:cs="仿宋_GB2312"/>
          <w:color w:val="000000"/>
          <w:sz w:val="32"/>
          <w:szCs w:val="32"/>
        </w:rPr>
        <w:t>日前无法完成学业并</w:t>
      </w:r>
      <w:r>
        <w:rPr>
          <w:rFonts w:hint="eastAsia" w:ascii="仿宋_GB2312" w:hAnsi="仿宋_GB2312" w:eastAsia="仿宋_GB2312" w:cs="仿宋_GB2312"/>
          <w:color w:val="000000"/>
          <w:sz w:val="32"/>
          <w:szCs w:val="32"/>
          <w:lang w:eastAsia="zh-CN"/>
        </w:rPr>
        <w:t>未</w:t>
      </w:r>
      <w:r>
        <w:rPr>
          <w:rFonts w:ascii="仿宋_GB2312" w:hAnsi="仿宋_GB2312" w:eastAsia="仿宋_GB2312" w:cs="仿宋_GB2312"/>
          <w:color w:val="000000"/>
          <w:sz w:val="32"/>
          <w:szCs w:val="32"/>
        </w:rPr>
        <w:t>取得学历（学位）证书的，不得应聘。</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8.留学回国人员可以应聘哪些岗位，需提供哪些材料？</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留学回国人员应聘的，除需提供《简章》中规定的相关材料外，还要提供国家教育部门的学历学位认证</w:t>
      </w:r>
      <w:r>
        <w:rPr>
          <w:rFonts w:hint="eastAsia" w:ascii="仿宋_GB2312" w:hAnsi="仿宋_GB2312" w:eastAsia="仿宋_GB2312" w:cs="仿宋_GB2312"/>
          <w:color w:val="000000"/>
          <w:sz w:val="32"/>
          <w:szCs w:val="32"/>
        </w:rPr>
        <w:t>材料</w:t>
      </w:r>
      <w:r>
        <w:rPr>
          <w:rFonts w:ascii="仿宋_GB2312" w:hAnsi="仿宋_GB2312" w:eastAsia="仿宋_GB2312" w:cs="仿宋_GB2312"/>
          <w:color w:val="000000"/>
          <w:sz w:val="32"/>
          <w:szCs w:val="32"/>
        </w:rPr>
        <w:t>。应聘人员可登录教育部留学服务中心网站（http://www.cscse.edu.cn）查询认证的有关要求和程序。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9</w:t>
      </w:r>
      <w:r>
        <w:rPr>
          <w:rFonts w:hint="eastAsia" w:eastAsia="楷体_GB2312"/>
          <w:b/>
          <w:bCs/>
          <w:sz w:val="32"/>
          <w:szCs w:val="32"/>
        </w:rPr>
        <w:t>.对学历学位及相关证书取得时间有什么要求？</w:t>
      </w:r>
    </w:p>
    <w:p>
      <w:pPr>
        <w:keepNext w:val="0"/>
        <w:keepLines w:val="0"/>
        <w:pageBreakBefore w:val="0"/>
        <w:widowControl w:val="0"/>
        <w:kinsoku/>
        <w:wordWrap/>
        <w:overflowPunct/>
        <w:topLinePunct w:val="0"/>
        <w:bidi w:val="0"/>
        <w:spacing w:line="54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2022年应届毕业生以及与国（境）内高校应届毕业生同期毕业的留学回国人员的学历、学位及相关证书，须在2022年7月31日前取得；其他人员应聘的，须在报名前取得国家承认的学历、学位以及相关证书。</w:t>
      </w:r>
    </w:p>
    <w:p>
      <w:pPr>
        <w:keepNext w:val="0"/>
        <w:keepLines w:val="0"/>
        <w:pageBreakBefore w:val="0"/>
        <w:widowControl w:val="0"/>
        <w:kinsoku/>
        <w:wordWrap/>
        <w:overflowPunct/>
        <w:topLinePunct w:val="0"/>
        <w:bidi w:val="0"/>
        <w:snapToGrid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10</w:t>
      </w:r>
      <w:r>
        <w:rPr>
          <w:rFonts w:hint="eastAsia" w:eastAsia="楷体_GB2312"/>
          <w:b/>
          <w:bCs/>
          <w:sz w:val="32"/>
          <w:szCs w:val="32"/>
        </w:rPr>
        <w:t>.学历学位高于岗位要求的人员能否应聘？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1</w:t>
      </w:r>
      <w:r>
        <w:rPr>
          <w:rFonts w:hint="eastAsia" w:eastAsia="楷体_GB2312"/>
          <w:b/>
          <w:bCs/>
          <w:sz w:val="32"/>
          <w:szCs w:val="32"/>
        </w:rPr>
        <w:t>.岗位汇总表中所要求的专业如何理解？</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年国内普通高等学历教育的应届毕业生和</w:t>
      </w:r>
      <w:r>
        <w:rPr>
          <w:rFonts w:hint="eastAsia" w:ascii="仿宋_GB2312" w:hAnsi="仿宋_GB2312" w:eastAsia="仿宋_GB2312" w:cs="仿宋_GB2312"/>
          <w:color w:val="000000"/>
          <w:sz w:val="32"/>
          <w:szCs w:val="32"/>
        </w:rPr>
        <w:t>同期毕业的留学回国人员</w:t>
      </w:r>
      <w:r>
        <w:rPr>
          <w:rFonts w:ascii="仿宋_GB2312" w:hAnsi="仿宋_GB2312" w:eastAsia="仿宋_GB2312" w:cs="仿宋_GB2312"/>
          <w:color w:val="000000"/>
          <w:sz w:val="32"/>
          <w:szCs w:val="32"/>
        </w:rPr>
        <w:t>，可依据于202</w:t>
      </w:r>
      <w:r>
        <w:rPr>
          <w:rFonts w:hint="eastAsia" w:ascii="仿宋_GB2312" w:hAnsi="仿宋_GB2312" w:eastAsia="仿宋_GB2312" w:cs="仿宋_GB2312"/>
          <w:color w:val="000000"/>
          <w:sz w:val="32"/>
          <w:szCs w:val="32"/>
          <w:lang w:val="en-US" w:eastAsia="zh-CN"/>
        </w:rPr>
        <w:t>2</w:t>
      </w:r>
      <w:r>
        <w:rPr>
          <w:rFonts w:ascii="仿宋_GB2312" w:hAnsi="仿宋_GB2312" w:eastAsia="仿宋_GB2312" w:cs="仿宋_GB2312"/>
          <w:color w:val="000000"/>
          <w:sz w:val="32"/>
          <w:szCs w:val="32"/>
        </w:rPr>
        <w:t>年7月31日前取得的普通高等学历教育和国（境）外留学学历（学位）及相应专业应聘。</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hint="eastAsia" w:eastAsia="楷体_GB2312"/>
          <w:b/>
          <w:bCs/>
          <w:sz w:val="32"/>
          <w:szCs w:val="32"/>
        </w:rPr>
        <w:t>.应聘人员在网上提供的照片有什么要求?</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hint="eastAsia" w:eastAsia="楷体_GB2312"/>
          <w:b/>
          <w:bCs/>
          <w:sz w:val="32"/>
          <w:szCs w:val="32"/>
        </w:rPr>
        <w:t>网上填写报名信息时应注意什么？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4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40" w:lineRule="exact"/>
        <w:ind w:left="319" w:leftChars="152" w:firstLine="320" w:firstLineChars="100"/>
        <w:textAlignment w:val="auto"/>
        <w:rPr>
          <w:rFonts w:hint="eastAsia" w:ascii="仿宋_GB2312" w:eastAsia="仿宋_GB2312"/>
          <w:sz w:val="32"/>
          <w:szCs w:val="32"/>
        </w:rPr>
      </w:pPr>
      <w:r>
        <w:rPr>
          <w:rFonts w:eastAsia="仿宋_GB2312"/>
          <w:sz w:val="32"/>
          <w:szCs w:val="32"/>
        </w:rPr>
        <w:t>学习和工作经历，必须从</w:t>
      </w:r>
      <w:r>
        <w:rPr>
          <w:rFonts w:hint="eastAsia" w:eastAsia="仿宋_GB2312"/>
          <w:sz w:val="32"/>
          <w:szCs w:val="32"/>
        </w:rPr>
        <w:t>初中</w:t>
      </w:r>
      <w:r>
        <w:rPr>
          <w:rFonts w:eastAsia="仿宋_GB2312"/>
          <w:sz w:val="32"/>
          <w:szCs w:val="32"/>
        </w:rPr>
        <w:t>阶段开始</w:t>
      </w:r>
      <w:r>
        <w:rPr>
          <w:rFonts w:hint="eastAsia" w:eastAsia="仿宋_GB2312"/>
          <w:sz w:val="32"/>
          <w:szCs w:val="32"/>
        </w:rPr>
        <w:t>如实</w:t>
      </w:r>
      <w:r>
        <w:rPr>
          <w:rFonts w:eastAsia="仿宋_GB2312"/>
          <w:sz w:val="32"/>
          <w:szCs w:val="32"/>
        </w:rPr>
        <w:t>填写</w:t>
      </w:r>
      <w:r>
        <w:rPr>
          <w:rFonts w:hint="eastAsia" w:eastAsia="仿宋_GB2312"/>
          <w:sz w:val="32"/>
          <w:szCs w:val="32"/>
        </w:rPr>
        <w:t>,</w:t>
      </w:r>
      <w:r>
        <w:rPr>
          <w:rFonts w:hint="eastAsia" w:ascii="仿宋_GB2312" w:eastAsia="仿宋_GB2312"/>
          <w:sz w:val="32"/>
          <w:szCs w:val="32"/>
        </w:rPr>
        <w:t>到202</w:t>
      </w:r>
      <w:r>
        <w:rPr>
          <w:rFonts w:hint="eastAsia" w:ascii="仿宋_GB2312" w:eastAsia="仿宋_GB2312"/>
          <w:sz w:val="32"/>
          <w:szCs w:val="32"/>
          <w:lang w:val="en-US" w:eastAsia="zh-CN"/>
        </w:rPr>
        <w:t>2</w:t>
      </w:r>
      <w:r>
        <w:rPr>
          <w:rFonts w:hint="eastAsia" w:ascii="仿宋_GB2312" w:eastAsia="仿宋_GB2312"/>
          <w:sz w:val="32"/>
          <w:szCs w:val="32"/>
        </w:rPr>
        <w:t>年</w:t>
      </w:r>
    </w:p>
    <w:p>
      <w:pPr>
        <w:keepNext w:val="0"/>
        <w:keepLines w:val="0"/>
        <w:pageBreakBefore w:val="0"/>
        <w:widowControl w:val="0"/>
        <w:kinsoku/>
        <w:wordWrap/>
        <w:overflowPunct/>
        <w:topLinePunct w:val="0"/>
        <w:bidi w:val="0"/>
        <w:spacing w:line="540" w:lineRule="exact"/>
        <w:textAlignment w:val="auto"/>
        <w:rPr>
          <w:rFonts w:ascii="仿宋_GB2312" w:eastAsia="仿宋_GB2312"/>
          <w:sz w:val="32"/>
          <w:szCs w:val="32"/>
        </w:rPr>
      </w:pPr>
      <w:r>
        <w:rPr>
          <w:rFonts w:hint="eastAsia" w:ascii="仿宋_GB2312" w:eastAsia="仿宋_GB2312"/>
          <w:sz w:val="32"/>
          <w:szCs w:val="32"/>
          <w:lang w:val="en-US" w:eastAsia="zh-CN"/>
        </w:rPr>
        <w:t xml:space="preserve"> 10</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US" w:eastAsia="zh-CN"/>
        </w:rPr>
        <w:t>1</w:t>
      </w:r>
      <w:r>
        <w:rPr>
          <w:rFonts w:hint="eastAsia" w:ascii="仿宋_GB2312" w:eastAsia="仿宋_GB2312"/>
          <w:sz w:val="32"/>
          <w:szCs w:val="32"/>
        </w:rPr>
        <w:t>日止。简历内容必须真实、准确、连贯、完整。</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4</w:t>
      </w:r>
      <w:r>
        <w:rPr>
          <w:rFonts w:hint="eastAsia" w:eastAsia="楷体_GB2312"/>
          <w:b/>
          <w:bCs/>
          <w:sz w:val="32"/>
          <w:szCs w:val="32"/>
        </w:rPr>
        <w:t>. 本次招聘中的有效身份证件指的是什么？</w:t>
      </w:r>
    </w:p>
    <w:p>
      <w:pPr>
        <w:keepNext w:val="0"/>
        <w:keepLines w:val="0"/>
        <w:pageBreakBefore w:val="0"/>
        <w:widowControl w:val="0"/>
        <w:kinsoku/>
        <w:wordWrap/>
        <w:overflowPunct/>
        <w:topLinePunct w:val="0"/>
        <w:bidi w:val="0"/>
        <w:spacing w:line="54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有效身份证件包括有效期限内的居民身份证、临时居民身份证、港澳居民来往内地通行证、台湾居民来往大陆</w:t>
      </w:r>
      <w:bookmarkStart w:id="0" w:name="_GoBack"/>
      <w:bookmarkEnd w:id="0"/>
      <w:r>
        <w:rPr>
          <w:rFonts w:ascii="仿宋_GB2312" w:hAnsi="仿宋_GB2312" w:eastAsia="仿宋_GB2312" w:cs="仿宋_GB2312"/>
          <w:color w:val="000000"/>
          <w:sz w:val="32"/>
          <w:szCs w:val="32"/>
        </w:rPr>
        <w:t>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5</w:t>
      </w:r>
      <w:r>
        <w:rPr>
          <w:rFonts w:hint="eastAsia" w:eastAsia="楷体_GB2312"/>
          <w:b/>
          <w:bCs/>
          <w:sz w:val="32"/>
          <w:szCs w:val="32"/>
        </w:rPr>
        <w:t>.享受减免有关考务费用的考生、残疾人需提供哪些证明材料？</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r>
        <w:rPr>
          <w:rFonts w:hint="eastAsia" w:ascii="仿宋_GB2312" w:hAnsi="仿宋_GB2312" w:eastAsia="仿宋_GB2312" w:cs="仿宋_GB2312"/>
          <w:sz w:val="32"/>
          <w:szCs w:val="32"/>
          <w:lang w:eastAsia="zh-CN"/>
        </w:rPr>
        <w:t>拟享受减免考务费用的应聘人员，在网上缴费后，可由本人或委托他人于笔试结束后三个工作日内（上午8：30-12：00，下午14：00-16：00）携带有关证明材料（原件及复印件，复印件由审核单位留存）到东昌府区卫生健康局427房间（奥森路77号）办理现场确认和减免费用手续。</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6</w:t>
      </w:r>
      <w:r>
        <w:rPr>
          <w:rFonts w:hint="eastAsia" w:eastAsia="楷体_GB2312"/>
          <w:b/>
          <w:bCs/>
          <w:sz w:val="32"/>
          <w:szCs w:val="32"/>
        </w:rPr>
        <w:t>.进入面试范围的应聘人员需提交哪些证明材料？</w:t>
      </w:r>
    </w:p>
    <w:p>
      <w:pPr>
        <w:pStyle w:val="17"/>
        <w:keepNext w:val="0"/>
        <w:keepLines w:val="0"/>
        <w:pageBreakBefore w:val="0"/>
        <w:widowControl w:val="0"/>
        <w:kinsoku/>
        <w:wordWrap/>
        <w:overflowPunct/>
        <w:topLinePunct w:val="0"/>
        <w:bidi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w:t>
      </w:r>
      <w:r>
        <w:rPr>
          <w:rFonts w:hint="eastAsia" w:ascii="仿宋_GB2312" w:hAnsi="仿宋" w:eastAsia="仿宋_GB2312" w:cs="仿宋"/>
          <w:bCs/>
          <w:sz w:val="32"/>
          <w:szCs w:val="32"/>
        </w:rPr>
        <w:t>东昌府区</w:t>
      </w:r>
      <w:r>
        <w:rPr>
          <w:rFonts w:hint="eastAsia" w:ascii="仿宋_GB2312" w:hAnsi="仿宋" w:eastAsia="仿宋_GB2312" w:cs="仿宋"/>
          <w:bCs/>
          <w:sz w:val="32"/>
          <w:szCs w:val="32"/>
          <w:lang w:eastAsia="zh-CN"/>
        </w:rPr>
        <w:t>卫生健康</w:t>
      </w:r>
      <w:r>
        <w:rPr>
          <w:rFonts w:hint="eastAsia" w:ascii="仿宋_GB2312" w:hAnsi="仿宋" w:eastAsia="仿宋_GB2312" w:cs="仿宋"/>
          <w:bCs/>
          <w:sz w:val="32"/>
          <w:szCs w:val="32"/>
        </w:rPr>
        <w:t>事业单位公开招聘</w:t>
      </w:r>
      <w:r>
        <w:rPr>
          <w:rFonts w:hint="eastAsia" w:ascii="仿宋_GB2312" w:eastAsia="仿宋_GB2312"/>
          <w:sz w:val="32"/>
          <w:szCs w:val="32"/>
        </w:rPr>
        <w:t>工作人员</w:t>
      </w:r>
      <w:r>
        <w:rPr>
          <w:rFonts w:hint="eastAsia" w:ascii="仿宋_GB2312" w:eastAsia="仿宋_GB2312"/>
          <w:sz w:val="32"/>
          <w:szCs w:val="32"/>
          <w:lang w:val="zh-CN"/>
        </w:rPr>
        <w:t>报</w:t>
      </w:r>
      <w:r>
        <w:rPr>
          <w:rFonts w:hint="eastAsia" w:ascii="仿宋_GB2312" w:hAnsi="宋体" w:eastAsia="仿宋_GB2312" w:cs="宋体"/>
          <w:kern w:val="0"/>
          <w:sz w:val="32"/>
          <w:szCs w:val="32"/>
          <w:lang w:val="zh-CN"/>
        </w:rPr>
        <w:t>名登记表》；</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zh-CN"/>
        </w:rPr>
        <w:t>）</w:t>
      </w:r>
      <w:r>
        <w:rPr>
          <w:rFonts w:hint="eastAsia" w:ascii="仿宋_GB2312" w:eastAsia="仿宋_GB2312"/>
          <w:sz w:val="32"/>
          <w:szCs w:val="32"/>
        </w:rPr>
        <w:t>笔试准考证；</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国家承认的学历毕业证、学位证（有学位要求的提供）、报到证（普通高校毕业生提供）、身份证、中国高等教育学生信息网验证期内的《教育部学历证书电子注册备案表》、学位查询结果(有学位要求的提供)；</w:t>
      </w:r>
      <w:r>
        <w:rPr>
          <w:rFonts w:hint="eastAsia" w:ascii="仿宋_GB2312" w:eastAsia="仿宋_GB2312"/>
          <w:sz w:val="32"/>
          <w:szCs w:val="32"/>
          <w:lang w:eastAsia="zh-CN"/>
        </w:rPr>
        <w:t>要求医师资格证书及放射医师资格证书的岗位还需提供资格证书；</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（5）在职人员应聘的，还需提交</w:t>
      </w:r>
      <w:r>
        <w:rPr>
          <w:rFonts w:hint="eastAsia" w:ascii="仿宋_GB2312" w:hAnsi="仿宋_GB2312" w:eastAsia="仿宋_GB2312" w:cs="仿宋_GB2312"/>
          <w:sz w:val="32"/>
          <w:szCs w:val="32"/>
        </w:rPr>
        <w:t>所在</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及主管部门</w:t>
      </w:r>
      <w:r>
        <w:rPr>
          <w:rFonts w:ascii="仿宋_GB2312" w:hAnsi="仿宋_GB2312" w:eastAsia="仿宋_GB2312" w:cs="仿宋_GB2312"/>
          <w:sz w:val="32"/>
          <w:szCs w:val="32"/>
        </w:rPr>
        <w:t>出具的同意应聘介绍信</w:t>
      </w:r>
      <w:r>
        <w:rPr>
          <w:rFonts w:hint="eastAsia" w:eastAsia="仿宋_GB2312"/>
          <w:kern w:val="0"/>
          <w:sz w:val="32"/>
          <w:szCs w:val="32"/>
        </w:rPr>
        <w:t>；</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eastAsia="仿宋_GB2312" w:cs="仿宋_GB2312"/>
          <w:spacing w:val="15"/>
          <w:sz w:val="32"/>
          <w:szCs w:val="32"/>
          <w:shd w:val="clear" w:color="auto" w:fill="FFFFFF"/>
          <w:lang w:val="zh-CN"/>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pacing w:val="15"/>
          <w:sz w:val="32"/>
          <w:szCs w:val="32"/>
          <w:shd w:val="clear" w:color="auto" w:fill="FFFFFF"/>
          <w:lang w:val="zh-CN"/>
        </w:rPr>
        <w:t>《容缺报名个人承诺书》（如需提供的）；</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香港和澳门居民中的中国公民应聘的，还需提供《港澳居民来往内地通行证》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）招聘岗位条件要求的其他证明材料。</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7</w:t>
      </w:r>
      <w:r>
        <w:rPr>
          <w:rFonts w:hint="eastAsia" w:eastAsia="楷体_GB2312"/>
          <w:b/>
          <w:bCs/>
          <w:sz w:val="32"/>
          <w:szCs w:val="32"/>
        </w:rPr>
        <w:t>.应聘人员是否可以改报其他岗位？</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18</w:t>
      </w:r>
      <w:r>
        <w:rPr>
          <w:rFonts w:hint="eastAsia" w:eastAsia="楷体_GB2312"/>
          <w:b/>
          <w:bCs/>
          <w:sz w:val="32"/>
          <w:szCs w:val="32"/>
        </w:rPr>
        <w:t>.报考人员提交报名信息2小时后，登录网站发现报名信息仍为“未审核”状态是什么原因？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19</w:t>
      </w:r>
      <w:r>
        <w:rPr>
          <w:rFonts w:hint="eastAsia" w:eastAsia="楷体_GB2312"/>
          <w:b/>
          <w:bCs/>
          <w:sz w:val="32"/>
          <w:szCs w:val="32"/>
        </w:rPr>
        <w:t>.每天报名情况如何查询？</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每天报名情况在东昌府区人民政府网站公布。</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0</w:t>
      </w:r>
      <w:r>
        <w:rPr>
          <w:rFonts w:hint="eastAsia" w:eastAsia="楷体_GB2312"/>
          <w:b/>
          <w:bCs/>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eastAsia="仿宋_GB2312"/>
          <w:sz w:val="32"/>
          <w:szCs w:val="32"/>
        </w:rPr>
      </w:pPr>
      <w:r>
        <w:rPr>
          <w:rFonts w:eastAsia="仿宋_GB2312"/>
          <w:kern w:val="0"/>
          <w:sz w:val="32"/>
          <w:szCs w:val="32"/>
        </w:rPr>
        <w:t>应聘人员要严格遵守公开招聘的相关政策规定，遵从事业单位公开招聘主管机关和</w:t>
      </w:r>
      <w:r>
        <w:rPr>
          <w:rFonts w:hint="eastAsia" w:eastAsia="仿宋_GB2312"/>
          <w:kern w:val="0"/>
          <w:sz w:val="32"/>
          <w:szCs w:val="32"/>
        </w:rPr>
        <w:t>招聘</w:t>
      </w:r>
      <w:r>
        <w:rPr>
          <w:rFonts w:eastAsia="仿宋_GB2312"/>
          <w:kern w:val="0"/>
          <w:sz w:val="32"/>
          <w:szCs w:val="32"/>
        </w:rPr>
        <w:t>单位</w:t>
      </w:r>
      <w:r>
        <w:rPr>
          <w:rFonts w:hint="eastAsia" w:eastAsia="仿宋_GB2312"/>
          <w:kern w:val="0"/>
          <w:sz w:val="32"/>
          <w:szCs w:val="32"/>
        </w:rPr>
        <w:t>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1</w:t>
      </w:r>
      <w:r>
        <w:rPr>
          <w:rFonts w:hint="eastAsia" w:eastAsia="楷体_GB2312"/>
          <w:b/>
          <w:bCs/>
          <w:sz w:val="32"/>
          <w:szCs w:val="32"/>
        </w:rPr>
        <w:t>.拟聘用人员名单公示后提出放弃的如何处理？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2</w:t>
      </w:r>
      <w:r>
        <w:rPr>
          <w:rFonts w:hint="eastAsia" w:eastAsia="楷体_GB2312"/>
          <w:b/>
          <w:bCs/>
          <w:sz w:val="32"/>
          <w:szCs w:val="32"/>
        </w:rPr>
        <w:t>.是否有指定的考试辅导书和培训班？</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楷体_GB2312" w:eastAsia="楷体_GB2312"/>
          <w:b/>
          <w:sz w:val="32"/>
          <w:szCs w:val="20"/>
        </w:rPr>
      </w:pPr>
      <w:r>
        <w:rPr>
          <w:rFonts w:hint="eastAsia" w:ascii="仿宋_GB2312" w:hAnsi="仿宋" w:eastAsia="仿宋_GB2312" w:cs="仿宋"/>
          <w:bCs/>
          <w:color w:val="000000"/>
          <w:sz w:val="32"/>
          <w:szCs w:val="32"/>
        </w:rPr>
        <w:t>202</w:t>
      </w:r>
      <w:r>
        <w:rPr>
          <w:rFonts w:hint="eastAsia" w:ascii="仿宋_GB2312" w:hAnsi="仿宋" w:eastAsia="仿宋_GB2312" w:cs="仿宋"/>
          <w:bCs/>
          <w:color w:val="000000"/>
          <w:sz w:val="32"/>
          <w:szCs w:val="32"/>
          <w:lang w:val="en-US" w:eastAsia="zh-CN"/>
        </w:rPr>
        <w:t>2</w:t>
      </w:r>
      <w:r>
        <w:rPr>
          <w:rFonts w:hint="eastAsia" w:ascii="仿宋_GB2312" w:hAnsi="仿宋" w:eastAsia="仿宋_GB2312" w:cs="仿宋"/>
          <w:bCs/>
          <w:color w:val="000000"/>
          <w:sz w:val="32"/>
          <w:szCs w:val="32"/>
        </w:rPr>
        <w:t>年东昌府区</w:t>
      </w:r>
      <w:r>
        <w:rPr>
          <w:rFonts w:hint="eastAsia" w:ascii="仿宋_GB2312" w:hAnsi="仿宋" w:eastAsia="仿宋_GB2312" w:cs="仿宋"/>
          <w:bCs/>
          <w:color w:val="000000"/>
          <w:sz w:val="32"/>
          <w:szCs w:val="32"/>
          <w:lang w:eastAsia="zh-CN"/>
        </w:rPr>
        <w:t>卫生健康</w:t>
      </w:r>
      <w:r>
        <w:rPr>
          <w:rFonts w:hint="eastAsia" w:ascii="仿宋_GB2312" w:hAnsi="仿宋" w:eastAsia="仿宋_GB2312" w:cs="仿宋"/>
          <w:bCs/>
          <w:color w:val="000000"/>
          <w:sz w:val="32"/>
          <w:szCs w:val="32"/>
        </w:rPr>
        <w:t>事业单位公开招聘</w:t>
      </w:r>
      <w:r>
        <w:rPr>
          <w:rFonts w:eastAsia="仿宋_GB2312"/>
          <w:sz w:val="32"/>
          <w:szCs w:val="32"/>
        </w:rPr>
        <w:t>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keepNext w:val="0"/>
        <w:keepLines w:val="0"/>
        <w:pageBreakBefore w:val="0"/>
        <w:widowControl w:val="0"/>
        <w:kinsoku/>
        <w:wordWrap/>
        <w:overflowPunct/>
        <w:topLinePunct w:val="0"/>
        <w:bidi w:val="0"/>
        <w:spacing w:line="54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3</w:t>
      </w:r>
      <w:r>
        <w:rPr>
          <w:rFonts w:hint="eastAsia" w:eastAsia="楷体_GB2312"/>
          <w:b/>
          <w:bCs/>
          <w:sz w:val="32"/>
          <w:szCs w:val="32"/>
        </w:rPr>
        <w:t>.应聘人员还需注意哪些问题？</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p>
      <w:pPr>
        <w:spacing w:line="560" w:lineRule="exact"/>
        <w:ind w:firstLine="640" w:firstLineChars="200"/>
        <w:rPr>
          <w:rFonts w:ascii="仿宋_GB2312" w:hAnsi="仿宋" w:eastAsia="仿宋_GB2312"/>
          <w:sz w:val="32"/>
          <w:szCs w:val="32"/>
        </w:rPr>
      </w:pPr>
    </w:p>
    <w:sectPr>
      <w:headerReference r:id="rId3" w:type="default"/>
      <w:footerReference r:id="rId4" w:type="default"/>
      <w:footerReference r:id="rId5" w:type="even"/>
      <w:pgSz w:w="11906" w:h="16838"/>
      <w:pgMar w:top="1417" w:right="1417" w:bottom="1417" w:left="141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001010101"/>
    <w:charset w:val="86"/>
    <w:family w:val="modern"/>
    <w:pitch w:val="default"/>
    <w:sig w:usb0="00000000" w:usb1="00000000" w:usb2="0000000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楷体_GB2312">
    <w:altName w:val="方正楷体_GBK"/>
    <w:panose1 w:val="020106090300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159"/>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F73A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纯文本2"/>
    <w:basedOn w:val="1"/>
    <w:qFormat/>
    <w:uiPriority w:val="0"/>
    <w:pPr>
      <w:autoSpaceDE w:val="0"/>
      <w:autoSpaceDN w:val="0"/>
      <w:adjustRightInd w:val="0"/>
    </w:pPr>
    <w:rPr>
      <w:rFonts w:ascii="宋体"/>
      <w:sz w:val="20"/>
      <w:szCs w:val="20"/>
    </w:rPr>
  </w:style>
  <w:style w:type="paragraph" w:customStyle="1" w:styleId="20">
    <w:name w:val="Plain Text_46ddc0d3-76b5-41b0-aeb2-584f677b42b6"/>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3685</Words>
  <Characters>3808</Characters>
  <Paragraphs>73</Paragraphs>
  <TotalTime>71</TotalTime>
  <ScaleCrop>false</ScaleCrop>
  <LinksUpToDate>false</LinksUpToDate>
  <CharactersWithSpaces>3814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2018-04-30T17:43:00Z</dcterms:created>
  <dc:creator>rcjlzx</dc:creator>
  <cp:lastModifiedBy>user</cp:lastModifiedBy>
  <cp:lastPrinted>2022-07-28T06:50:00Z</cp:lastPrinted>
  <dcterms:modified xsi:type="dcterms:W3CDTF">2022-09-27T09:19:39Z</dcterms:modified>
  <dc:title>2011年阳谷县事业单位公开招聘应聘须知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5DD6101070D54C369741BAB8CA9CFB49</vt:lpwstr>
  </property>
</Properties>
</file>