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tabs>
          <w:tab w:val="left" w:pos="1800"/>
        </w:tabs>
        <w:spacing w:line="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中国扶贫发展中心2022年公开招聘</w:t>
      </w:r>
    </w:p>
    <w:p>
      <w:pPr>
        <w:tabs>
          <w:tab w:val="left" w:pos="1800"/>
        </w:tabs>
        <w:spacing w:line="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工作人员计划表</w:t>
      </w:r>
    </w:p>
    <w:p>
      <w:pPr>
        <w:tabs>
          <w:tab w:val="left" w:pos="1800"/>
        </w:tabs>
        <w:jc w:val="center"/>
        <w:rPr>
          <w:rFonts w:ascii="黑体" w:hAnsi="宋体" w:eastAsia="黑体"/>
          <w:sz w:val="13"/>
          <w:szCs w:val="13"/>
        </w:rPr>
      </w:pPr>
    </w:p>
    <w:tbl>
      <w:tblPr>
        <w:tblStyle w:val="3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42"/>
        <w:gridCol w:w="724"/>
        <w:gridCol w:w="698"/>
        <w:gridCol w:w="1126"/>
        <w:gridCol w:w="1389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64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主要工作职责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招聘                                                                                                                                                            人数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人员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乡村振兴调查与理论实践总结岗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6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参与乡村振兴调查和理论实践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shd w:val="clear" w:color="auto" w:fill="FFFFFF"/>
              </w:rPr>
              <w:t>相关工作，负责重要信息研究整理、有关文字材料起草、会议筹备和日常事务工作及领导交办的其他工作等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社会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在职人员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经济学（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）、管理学（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）、法学（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03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）、农学（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09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）类专业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硕士研究生及以上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，具有与最高学历相对应的学位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月以后出生，北京市常住居民户口，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3年及以上工作经历，身体健康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注：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黑体" w:eastAsia="仿宋_GB2312"/>
          <w:sz w:val="28"/>
          <w:szCs w:val="28"/>
        </w:rPr>
        <w:t>专业要求参照教育部《授予博士、硕士学位和培养研究生的学科、专业目录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2008更新版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</w:rPr>
        <w:t>》，《学位授予和人才培养学科目录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2018年4月更新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  2.对于所学专业接近，但不在上述参考目录中，应聘人员可与招聘单位联系，确认报名资格。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2183"/>
    <w:rsid w:val="31EE21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2022-09-30T07:20:00Z</dcterms:created>
  <dc:creator>hanzhili</dc:creator>
  <cp:lastModifiedBy>hanzhili</cp:lastModifiedBy>
  <dcterms:modified xsi:type="dcterms:W3CDTF">2022-09-30T07:21:32Z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