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widowControl/>
        <w:shd w:val="clear" w:color="auto" w:fill="FFFFFF"/>
        <w:spacing w:before="0" w:beforeAutospacing="0" w:after="0" w:afterAutospacing="0" w:line="520" w:lineRule="exact"/>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2</w:t>
      </w:r>
    </w:p>
    <w:p>
      <w:pPr>
        <w:pStyle w:val="5"/>
        <w:widowControl/>
        <w:shd w:val="clear" w:color="auto" w:fill="FFFFFF"/>
        <w:spacing w:before="0" w:beforeAutospacing="0" w:after="0" w:afterAutospacing="0" w:line="70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黔西南州民政局下属事业单位2022年公开</w:t>
      </w:r>
    </w:p>
    <w:p>
      <w:pPr>
        <w:pStyle w:val="5"/>
        <w:widowControl/>
        <w:shd w:val="clear" w:color="auto" w:fill="FFFFFF"/>
        <w:spacing w:before="0" w:beforeAutospacing="0" w:after="0" w:afterAutospacing="0" w:line="7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招聘事业人员考试</w:t>
      </w:r>
      <w:r>
        <w:rPr>
          <w:rFonts w:hint="eastAsia" w:ascii="方正小标宋简体" w:hAnsi="方正小标宋简体" w:eastAsia="方正小标宋简体" w:cs="方正小标宋简体"/>
          <w:sz w:val="44"/>
          <w:szCs w:val="44"/>
          <w:shd w:val="clear" w:color="auto" w:fill="FFFFFF"/>
          <w:lang w:val="en-US" w:eastAsia="zh-CN"/>
        </w:rPr>
        <w:t>防疫</w:t>
      </w:r>
      <w:r>
        <w:rPr>
          <w:rFonts w:hint="eastAsia" w:ascii="方正小标宋简体" w:hAnsi="方正小标宋简体" w:eastAsia="方正小标宋简体" w:cs="方正小标宋简体"/>
          <w:sz w:val="44"/>
          <w:szCs w:val="44"/>
          <w:shd w:val="clear" w:color="auto" w:fill="FFFFFF"/>
        </w:rPr>
        <w:t>方案</w:t>
      </w:r>
    </w:p>
    <w:p>
      <w:pPr>
        <w:spacing w:line="500" w:lineRule="exact"/>
        <w:ind w:firstLine="600" w:firstLineChars="200"/>
        <w:rPr>
          <w:rFonts w:ascii="仿宋_GB2312" w:hAnsi="仿宋_GB2312" w:eastAsia="仿宋_GB2312" w:cs="仿宋_GB2312"/>
          <w:sz w:val="30"/>
          <w:szCs w:val="30"/>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为有效防控新型冠状病毒传播，保障新冠疫情期间</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考试工作顺利进行，根据国家、省、州应对新冠肺炎疫情防控相关规定和《贵州省2022年人事考试新冠肺炎疫情防控要求（第四版）》，结合当前疫情形势和州民政局实际，为切实做好新冠肺炎疫情防控工作，特制定本方案。</w:t>
      </w:r>
    </w:p>
    <w:p>
      <w:pPr>
        <w:pStyle w:val="5"/>
        <w:widowControl/>
        <w:shd w:val="clear" w:color="auto" w:fill="FFFFFF"/>
        <w:spacing w:before="0" w:beforeAutospacing="0" w:after="0" w:afterAutospacing="0" w:line="520" w:lineRule="exact"/>
        <w:ind w:firstLine="672" w:firstLineChars="200"/>
        <w:jc w:val="both"/>
        <w:rPr>
          <w:rFonts w:ascii="黑体" w:hAnsi="黑体" w:eastAsia="黑体" w:cs="黑体"/>
          <w:spacing w:val="8"/>
          <w:sz w:val="32"/>
          <w:szCs w:val="32"/>
          <w:shd w:val="clear" w:color="auto" w:fill="FFFFFF"/>
        </w:rPr>
      </w:pPr>
      <w:r>
        <w:rPr>
          <w:rFonts w:hint="eastAsia" w:ascii="黑体" w:hAnsi="黑体" w:eastAsia="黑体" w:cs="黑体"/>
          <w:spacing w:val="8"/>
          <w:sz w:val="32"/>
          <w:szCs w:val="32"/>
          <w:shd w:val="clear" w:color="auto" w:fill="FFFFFF"/>
        </w:rPr>
        <w:t>一、组织保障</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本次</w:t>
      </w:r>
      <w:r>
        <w:rPr>
          <w:rFonts w:hint="eastAsia" w:ascii="仿宋_GB2312" w:eastAsia="仿宋_GB2312" w:cs="仿宋_GB2312"/>
          <w:sz w:val="32"/>
          <w:szCs w:val="32"/>
          <w:lang w:eastAsia="zh-CN"/>
        </w:rPr>
        <w:t>公开招</w:t>
      </w:r>
      <w:r>
        <w:rPr>
          <w:rFonts w:hint="eastAsia" w:ascii="仿宋_GB2312" w:eastAsia="仿宋_GB2312" w:cs="仿宋_GB2312"/>
          <w:sz w:val="32"/>
          <w:szCs w:val="32"/>
        </w:rPr>
        <w:t>聘考试新冠肺炎疫情防控工作由州民政局</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工作领导小组</w:t>
      </w:r>
      <w:r>
        <w:rPr>
          <w:rFonts w:hint="eastAsia" w:ascii="仿宋_GB2312" w:eastAsia="仿宋_GB2312" w:cs="仿宋_GB2312"/>
          <w:sz w:val="32"/>
          <w:szCs w:val="32"/>
        </w:rPr>
        <w:t>开展，负责统筹组织</w:t>
      </w:r>
      <w:r>
        <w:rPr>
          <w:rFonts w:hint="eastAsia" w:ascii="仿宋_GB2312" w:eastAsia="仿宋_GB2312" w:cs="仿宋_GB2312"/>
          <w:sz w:val="32"/>
          <w:szCs w:val="32"/>
          <w:lang w:eastAsia="zh-CN"/>
        </w:rPr>
        <w:t>招聘</w:t>
      </w:r>
      <w:r>
        <w:rPr>
          <w:rFonts w:hint="eastAsia" w:ascii="仿宋_GB2312" w:eastAsia="仿宋_GB2312" w:cs="仿宋_GB2312"/>
          <w:sz w:val="32"/>
          <w:szCs w:val="32"/>
        </w:rPr>
        <w:t>疫情防控日常工作。</w:t>
      </w:r>
    </w:p>
    <w:p>
      <w:pPr>
        <w:pStyle w:val="5"/>
        <w:widowControl/>
        <w:shd w:val="clear" w:color="auto" w:fill="FFFFFF"/>
        <w:spacing w:before="0" w:beforeAutospacing="0" w:after="0" w:afterAutospacing="0" w:line="520" w:lineRule="exact"/>
        <w:ind w:firstLine="672" w:firstLineChars="200"/>
        <w:jc w:val="both"/>
        <w:rPr>
          <w:rFonts w:ascii="黑体" w:hAnsi="黑体" w:eastAsia="黑体" w:cs="黑体"/>
          <w:spacing w:val="8"/>
          <w:sz w:val="32"/>
          <w:szCs w:val="32"/>
          <w:shd w:val="clear" w:color="auto" w:fill="FFFFFF"/>
        </w:rPr>
      </w:pPr>
      <w:r>
        <w:rPr>
          <w:rFonts w:hint="eastAsia" w:ascii="黑体" w:hAnsi="黑体" w:eastAsia="黑体" w:cs="黑体"/>
          <w:spacing w:val="8"/>
          <w:sz w:val="32"/>
          <w:szCs w:val="32"/>
          <w:shd w:val="clear" w:color="auto" w:fill="FFFFFF"/>
        </w:rPr>
        <w:t>二、疫情防控须知</w:t>
      </w:r>
    </w:p>
    <w:p>
      <w:pPr>
        <w:pStyle w:val="5"/>
        <w:widowControl/>
        <w:shd w:val="clear" w:color="auto" w:fill="FFFFFF"/>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凡报名参加州民政局下属事业单位2022公开招聘事业人员考试的考生，须严格遵守《州民政局下属事业单位2022年面向全州</w:t>
      </w:r>
      <w:r>
        <w:rPr>
          <w:rFonts w:hint="eastAsia" w:ascii="仿宋_GB2312" w:eastAsia="仿宋_GB2312" w:cs="仿宋_GB2312"/>
          <w:sz w:val="32"/>
          <w:szCs w:val="32"/>
          <w:lang w:eastAsia="zh-CN"/>
        </w:rPr>
        <w:t>招聘</w:t>
      </w:r>
      <w:r>
        <w:rPr>
          <w:rFonts w:hint="eastAsia" w:ascii="仿宋_GB2312" w:eastAsia="仿宋_GB2312" w:cs="仿宋_GB2312"/>
          <w:sz w:val="32"/>
          <w:szCs w:val="32"/>
        </w:rPr>
        <w:t>事业人员考试</w:t>
      </w:r>
      <w:r>
        <w:rPr>
          <w:rFonts w:hint="eastAsia" w:ascii="仿宋_GB2312" w:eastAsia="仿宋_GB2312" w:cs="仿宋_GB2312"/>
          <w:sz w:val="32"/>
          <w:szCs w:val="32"/>
          <w:lang w:val="en-US" w:eastAsia="zh-CN"/>
        </w:rPr>
        <w:t>防疫</w:t>
      </w:r>
      <w:r>
        <w:rPr>
          <w:rFonts w:hint="eastAsia" w:ascii="仿宋_GB2312" w:eastAsia="仿宋_GB2312" w:cs="仿宋_GB2312"/>
          <w:sz w:val="32"/>
          <w:szCs w:val="32"/>
        </w:rPr>
        <w:t>方案》。网上报名时，须认真阅读相关考试的公告、通知等文件，并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widowControl/>
        <w:spacing w:before="0" w:beforeAutospacing="0" w:after="0" w:afterAutospacing="0" w:line="5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三、疫情防控要求</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根据国务院联防联控机制综合组印发《新型冠状病毒肺炎防控方案（第九版）》和贵州省最新疫情防控规定，对参加</w:t>
      </w:r>
      <w:r>
        <w:rPr>
          <w:rFonts w:hint="eastAsia" w:ascii="仿宋_GB2312" w:eastAsia="仿宋_GB2312" w:cs="仿宋_GB2312"/>
          <w:sz w:val="32"/>
          <w:szCs w:val="32"/>
          <w:lang w:eastAsia="zh-CN"/>
        </w:rPr>
        <w:t>招聘</w:t>
      </w:r>
      <w:r>
        <w:rPr>
          <w:rFonts w:hint="eastAsia" w:ascii="仿宋_GB2312" w:eastAsia="仿宋_GB2312" w:cs="仿宋_GB2312"/>
          <w:sz w:val="32"/>
          <w:szCs w:val="32"/>
        </w:rPr>
        <w:t>事业人员考试的考生防疫要求如下：</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（一）不符合国家、省有关疫情防控要求，不遵守有关疫情防控规定的人员不得进入考点参加考试。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（二）处于康复或隔离期的病例、无症状感染者不得进入考点参加考试。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（三）未解除隔离的疑似病例、确诊病例以及无症状感染者的密切接触者不得进入考点参加考试。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（四）处于集中隔离、居家健康监测期间的人员不得进入考点参加考试。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（五）对流动、出行须报备并提供相应证明材料的人员，未按要求报备或未按要求提供相应证明材料的不得进入考点参加考试。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（七）考前7天内有中高风险地区旅居史的考生，不得进入考点参加考试。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（八）境外来（返）黔人员，未完成“7天集中隔离+3天居家健康监测+6次核酸检测”，未达到解除条件的考生不得进入考点参加考试。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（九）7天内有省外本土感染者报告且存在社区传播风险的县（市、区、旗）低风险地区旅居史人员、陆地口岸城市来（返）黔人员中未携带48小时内核酸检测阴性证明的人员及其他需实行“3天</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检”的人员，抵黔后须按规定实行“3天</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检”，如超过24小时未完成第1次核酸采样，或超过3天未完成第</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次核酸采样的，不得进入考点参加考试。</w:t>
      </w:r>
    </w:p>
    <w:p>
      <w:pPr>
        <w:pStyle w:val="5"/>
        <w:widowControl/>
        <w:numPr>
          <w:ilvl w:val="0"/>
          <w:numId w:val="1"/>
        </w:numPr>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原则上所有考生均须按照“应接尽接、应接必接”的要求完成新冠疫苗全程接种及加强免疫。</w:t>
      </w:r>
    </w:p>
    <w:p>
      <w:pPr>
        <w:pStyle w:val="5"/>
        <w:widowControl/>
        <w:numPr>
          <w:ilvl w:val="0"/>
          <w:numId w:val="1"/>
        </w:numPr>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除符合其他防疫要求外，</w:t>
      </w:r>
      <w:r>
        <w:rPr>
          <w:rFonts w:hint="eastAsia" w:ascii="黑体" w:hAnsi="黑体" w:eastAsia="黑体" w:cs="黑体"/>
          <w:bCs/>
          <w:sz w:val="32"/>
          <w:szCs w:val="32"/>
        </w:rPr>
        <w:t>所有考生均须提供考前48小时内1次核酸检测阴性证明纸质版（检测机构出具的纸质证明或电子证明的打印件均可），</w:t>
      </w:r>
      <w:r>
        <w:rPr>
          <w:rFonts w:hint="eastAsia" w:ascii="仿宋_GB2312" w:eastAsia="仿宋_GB2312" w:cs="仿宋_GB2312"/>
          <w:sz w:val="32"/>
          <w:szCs w:val="32"/>
        </w:rPr>
        <w:t>方可进入考点参加考试。需落实“3天2检”的考生，其“3天</w:t>
      </w:r>
      <w:r>
        <w:rPr>
          <w:rFonts w:hint="eastAsia" w:ascii="仿宋_GB2312" w:eastAsia="仿宋_GB2312" w:cs="仿宋_GB2312"/>
          <w:sz w:val="32"/>
          <w:szCs w:val="32"/>
          <w:lang w:val="en-US" w:eastAsia="zh-CN"/>
        </w:rPr>
        <w:t>2</w:t>
      </w:r>
      <w:bookmarkStart w:id="0" w:name="_GoBack"/>
      <w:bookmarkEnd w:id="0"/>
      <w:r>
        <w:rPr>
          <w:rFonts w:hint="eastAsia" w:ascii="仿宋_GB2312" w:eastAsia="仿宋_GB2312" w:cs="仿宋_GB2312"/>
          <w:sz w:val="32"/>
          <w:szCs w:val="32"/>
        </w:rPr>
        <w:t>检”中第二次核酸检测阴性证明采样时间在考前48小时以内的，无需再重复提供考前48小时内的核酸检测阴性证明。</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（十二）考生应自备一次性使用医用口罩。考试期间，除核验身份时，考生应全程规范佩戴一次性使用医用口罩。未按要求佩戴口罩的考生，不得进入考点参加考试。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十三）开考前60分钟，考生即可开始接受检测进入考点，但不能进入考场。考生应尽早到达考点，提前做好入场检测准备，确保入场检测时间充足、秩序良好。不符合入场检测规定的考生，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（十四）考试结束，考生要按指令有序离场，废弃口罩应自行带走或放到指定垃圾桶，不得随意丢弃。</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十六）为确保顺利参加考试，建议考生提前进行自我健康状况监测和“贵州健康码”“行程码”“同行人员密接码”核验，若“贵州健康码”“行程码”“同行人员密接码”与本人状况不符，请立即咨询并及时按要求处置。</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“贵州健康码”使用和贵州省疫情防控咨询电话：0851-12345。</w:t>
      </w:r>
    </w:p>
    <w:p>
      <w:pPr>
        <w:pStyle w:val="5"/>
        <w:widowControl/>
        <w:spacing w:before="0" w:beforeAutospacing="0" w:after="0" w:afterAutospacing="0" w:line="5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四、入场检测规定</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入场检测时，考生须同时符合以下全部要求，方可进入考点参加考试：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（一）本人贵州健康码、行程码、同行密接人员自查码和扫场所码均为绿码；</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（二）经检测体温正常（低于37.3℃）；</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（三）佩戴一次性使用医用口罩；</w:t>
      </w:r>
    </w:p>
    <w:p>
      <w:pPr>
        <w:pStyle w:val="5"/>
        <w:widowControl/>
        <w:spacing w:before="0" w:beforeAutospacing="0" w:after="0" w:afterAutospacing="0" w:line="52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（四）提供考前48小时内1次核酸检测阴性证明纸质版；</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（五）需实行“3天2检”的人员，须按规定提供相应次数的核酸采样及检测结果证明。</w:t>
      </w:r>
    </w:p>
    <w:p>
      <w:pPr>
        <w:pStyle w:val="5"/>
        <w:widowControl/>
        <w:spacing w:before="0" w:beforeAutospacing="0" w:after="0" w:afterAutospacing="0" w:line="5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五、入场检测步骤</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考生须佩戴一次性使用医用口罩提前到达检测点排队，入场检测通道分别设置特殊检测通道和常规检测通道两类。</w:t>
      </w:r>
    </w:p>
    <w:p>
      <w:pPr>
        <w:pStyle w:val="5"/>
        <w:widowControl/>
        <w:spacing w:before="0" w:beforeAutospacing="0" w:after="0" w:afterAutospacing="0" w:line="520" w:lineRule="exact"/>
        <w:ind w:firstLine="640" w:firstLineChars="200"/>
        <w:jc w:val="both"/>
        <w:rPr>
          <w:rFonts w:ascii="楷体_GB2312" w:eastAsia="楷体_GB2312" w:cs="仿宋_GB2312"/>
          <w:sz w:val="32"/>
          <w:szCs w:val="32"/>
        </w:rPr>
      </w:pPr>
      <w:r>
        <w:rPr>
          <w:rFonts w:hint="eastAsia" w:ascii="楷体_GB2312" w:eastAsia="楷体_GB2312" w:cs="仿宋_GB2312"/>
          <w:sz w:val="32"/>
          <w:szCs w:val="32"/>
        </w:rPr>
        <w:t>（一）特殊检测通道</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需实行“3天2检”的考生（即“贵州健康码”出现“温馨提示”弹窗或首页出现“需3天2检”标识），须主动进入特殊检测通道。  </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具体检测步骤如下：</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考生到特殊检测通道提交考试当天本人“贵州健康码绿码”“行程码绿码”“同行密接人员自查绿码” “按</w:t>
      </w:r>
      <w:r>
        <w:rPr>
          <w:rFonts w:ascii="Times New Roman" w:hAnsi="Times New Roman"/>
          <w:sz w:val="32"/>
          <w:szCs w:val="32"/>
        </w:rPr>
        <w:t>‘</w:t>
      </w:r>
      <w:r>
        <w:rPr>
          <w:rFonts w:hint="eastAsia" w:ascii="仿宋_GB2312" w:eastAsia="仿宋_GB2312" w:cs="仿宋_GB2312"/>
          <w:sz w:val="32"/>
          <w:szCs w:val="32"/>
        </w:rPr>
        <w:t>3天2检</w:t>
      </w:r>
      <w:r>
        <w:rPr>
          <w:rFonts w:ascii="Times New Roman" w:hAnsi="Times New Roman"/>
          <w:sz w:val="32"/>
          <w:szCs w:val="32"/>
        </w:rPr>
        <w:t>’</w:t>
      </w:r>
      <w:r>
        <w:rPr>
          <w:rFonts w:hint="eastAsia" w:ascii="仿宋_GB2312" w:eastAsia="仿宋_GB2312" w:cs="仿宋_GB2312"/>
          <w:sz w:val="32"/>
          <w:szCs w:val="32"/>
        </w:rPr>
        <w:t>要求完成的相应次数的核酸采样证明”</w:t>
      </w:r>
      <w:r>
        <w:rPr>
          <w:rFonts w:hint="eastAsia" w:ascii="黑体" w:hAnsi="黑体" w:eastAsia="黑体" w:cs="黑体"/>
          <w:b/>
          <w:bCs/>
          <w:sz w:val="32"/>
          <w:szCs w:val="32"/>
        </w:rPr>
        <w:t xml:space="preserve"> </w:t>
      </w:r>
      <w:r>
        <w:rPr>
          <w:rFonts w:hint="eastAsia" w:ascii="黑体" w:hAnsi="黑体" w:eastAsia="黑体" w:cs="黑体"/>
          <w:bCs/>
          <w:sz w:val="32"/>
          <w:szCs w:val="32"/>
        </w:rPr>
        <w:t>“考前48小时内1次核酸检测阴性证明纸质版”、</w:t>
      </w:r>
      <w:r>
        <w:rPr>
          <w:rFonts w:hint="eastAsia" w:ascii="仿宋_GB2312" w:eastAsia="仿宋_GB2312" w:cs="仿宋_GB2312"/>
          <w:sz w:val="32"/>
          <w:szCs w:val="32"/>
        </w:rPr>
        <w:t>《准考证》等相应证明材料交检测人员核验并扫场所码为“绿码”及接受体温检测和信息登记。经检测合格的，检测人员在《准考证》上加盖入场检测合格章。</w:t>
      </w:r>
    </w:p>
    <w:p>
      <w:pPr>
        <w:pStyle w:val="5"/>
        <w:widowControl/>
        <w:spacing w:before="0" w:beforeAutospacing="0" w:after="0" w:afterAutospacing="0" w:line="520" w:lineRule="exact"/>
        <w:ind w:firstLine="640" w:firstLineChars="200"/>
        <w:jc w:val="both"/>
        <w:rPr>
          <w:rFonts w:ascii="楷体_GB2312" w:eastAsia="楷体_GB2312" w:cs="仿宋_GB2312"/>
          <w:sz w:val="32"/>
          <w:szCs w:val="32"/>
        </w:rPr>
      </w:pPr>
      <w:r>
        <w:rPr>
          <w:rFonts w:hint="eastAsia" w:ascii="楷体_GB2312" w:eastAsia="楷体_GB2312" w:cs="仿宋_GB2312"/>
          <w:sz w:val="32"/>
          <w:szCs w:val="32"/>
        </w:rPr>
        <w:t>（二）常规检测通道</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其余考生进入常规检测通道，具体检测步骤如下：</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考生到常规检测通道提交考试当天本人“贵州健康码绿码”“行程码绿码”“同行密接人员自查绿码”</w:t>
      </w:r>
      <w:r>
        <w:rPr>
          <w:rFonts w:hint="eastAsia" w:ascii="黑体" w:hAnsi="黑体" w:eastAsia="黑体" w:cs="黑体"/>
          <w:bCs/>
          <w:sz w:val="32"/>
          <w:szCs w:val="32"/>
        </w:rPr>
        <w:t xml:space="preserve"> “考前48小时内1次核酸检测阴性证明纸质版”、</w:t>
      </w:r>
      <w:r>
        <w:rPr>
          <w:rFonts w:hint="eastAsia" w:ascii="仿宋_GB2312" w:eastAsia="仿宋_GB2312" w:cs="仿宋_GB2312"/>
          <w:sz w:val="32"/>
          <w:szCs w:val="32"/>
        </w:rPr>
        <w:t>《准考证》等相应证明材料交检测人员核验并扫场所码为“绿码”及接受体温检测和信息登记。经检测合格的，检测人员在《准考证》上加盖入场检测合格章。</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如发现需落实“3天2检”的考生，立即转入特殊检测通道检测。</w:t>
      </w:r>
    </w:p>
    <w:p>
      <w:pPr>
        <w:pStyle w:val="5"/>
        <w:widowControl/>
        <w:spacing w:before="0" w:beforeAutospacing="0" w:after="0" w:afterAutospacing="0" w:line="520" w:lineRule="exact"/>
        <w:ind w:firstLine="640" w:firstLineChars="200"/>
        <w:jc w:val="both"/>
        <w:rPr>
          <w:rFonts w:ascii="楷体_GB2312" w:eastAsia="楷体_GB2312" w:cs="仿宋_GB2312"/>
          <w:sz w:val="32"/>
          <w:szCs w:val="32"/>
        </w:rPr>
      </w:pPr>
      <w:r>
        <w:rPr>
          <w:rFonts w:hint="eastAsia" w:ascii="楷体_GB2312" w:eastAsia="楷体_GB2312" w:cs="仿宋_GB2312"/>
          <w:sz w:val="32"/>
          <w:szCs w:val="32"/>
        </w:rPr>
        <w:t>（三）临时隔离检查点</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widowControl/>
        <w:spacing w:before="0" w:beforeAutospacing="0" w:after="0" w:afterAutospacing="0" w:line="520" w:lineRule="exact"/>
        <w:ind w:firstLine="640" w:firstLineChars="200"/>
        <w:jc w:val="both"/>
        <w:rPr>
          <w:rFonts w:ascii="仿宋_GB2312" w:eastAsia="仿宋_GB2312" w:cs="仿宋_GB2312"/>
          <w:sz w:val="32"/>
          <w:szCs w:val="32"/>
        </w:rPr>
      </w:pPr>
      <w:r>
        <w:rPr>
          <w:rFonts w:hint="eastAsia" w:ascii="仿宋_GB2312" w:hAnsi="黑体" w:eastAsia="仿宋_GB2312" w:cs="黑体"/>
          <w:sz w:val="32"/>
          <w:szCs w:val="32"/>
        </w:rPr>
        <w:t>六</w:t>
      </w:r>
      <w:r>
        <w:rPr>
          <w:rFonts w:hint="eastAsia" w:ascii="仿宋_GB2312" w:eastAsia="仿宋_GB2312" w:cs="仿宋_GB2312"/>
          <w:sz w:val="32"/>
          <w:szCs w:val="32"/>
        </w:rPr>
        <w:t>、考生须符合本文规定的可以参加考试的情形，并在考试全过程中严格遵守国家、省、州有关疫情防控规定以及本文要求，因不符合或不遵守疫情防控规定和要求造成的一切后果由考生自行负责。若考试前国家、省、州关于疫情防控的规定发生变化，将根据新规定另行公布考试有关疫情防控要求。请广大考生务必在考试前密切关注有关疫情防控规定和要求的变化，做好相应的参考准备，确保顺利参加考试。</w:t>
      </w:r>
    </w:p>
    <w:p>
      <w:pPr>
        <w:pStyle w:val="5"/>
        <w:widowControl/>
        <w:spacing w:before="0" w:beforeAutospacing="0" w:after="0" w:afterAutospacing="0" w:line="520" w:lineRule="exact"/>
        <w:ind w:firstLine="643" w:firstLineChars="200"/>
        <w:jc w:val="both"/>
        <w:rPr>
          <w:rFonts w:ascii="仿宋_GB2312" w:eastAsia="仿宋_GB2312" w:cs="仿宋_GB2312"/>
          <w:b/>
          <w:bCs/>
          <w:sz w:val="32"/>
          <w:szCs w:val="32"/>
        </w:rPr>
      </w:pPr>
      <w:r>
        <w:rPr>
          <w:rFonts w:hint="eastAsia" w:ascii="仿宋_GB2312" w:eastAsia="仿宋_GB2312" w:cs="仿宋_GB2312"/>
          <w:b/>
          <w:bCs/>
          <w:sz w:val="32"/>
          <w:szCs w:val="32"/>
        </w:rPr>
        <w:t>温馨提示：为确保考生顺利考试，建议考生于考试前一天完成最后一次核酸检测工作，并提前准备好纸质核酸检测阴性报告备查。</w:t>
      </w:r>
    </w:p>
    <w:p>
      <w:pPr>
        <w:pStyle w:val="5"/>
        <w:widowControl/>
        <w:spacing w:before="0" w:beforeAutospacing="0" w:after="0" w:afterAutospacing="0" w:line="360" w:lineRule="auto"/>
        <w:ind w:left="1764" w:leftChars="209" w:hanging="1325" w:hangingChars="300"/>
        <w:jc w:val="both"/>
        <w:rPr>
          <w:rFonts w:ascii="宋体" w:hAnsi="宋体" w:cs="宋体"/>
          <w:b/>
          <w:bCs/>
          <w:sz w:val="44"/>
          <w:szCs w:val="44"/>
        </w:rPr>
      </w:pPr>
    </w:p>
    <w:p>
      <w:pPr>
        <w:pStyle w:val="5"/>
        <w:widowControl/>
        <w:spacing w:before="0" w:beforeAutospacing="0" w:after="0" w:afterAutospacing="0" w:line="360" w:lineRule="auto"/>
        <w:ind w:left="1764" w:leftChars="209" w:hanging="1325" w:hangingChars="300"/>
        <w:jc w:val="both"/>
        <w:rPr>
          <w:rFonts w:ascii="宋体" w:hAnsi="宋体" w:cs="宋体"/>
          <w:b/>
          <w:bCs/>
          <w:sz w:val="44"/>
          <w:szCs w:val="44"/>
        </w:rPr>
      </w:pPr>
    </w:p>
    <w:p>
      <w:pPr>
        <w:pStyle w:val="5"/>
        <w:widowControl/>
        <w:spacing w:before="0" w:beforeAutospacing="0" w:after="0" w:afterAutospacing="0" w:line="360" w:lineRule="auto"/>
        <w:ind w:left="1523" w:leftChars="209" w:hanging="1084" w:hangingChars="300"/>
        <w:jc w:val="both"/>
        <w:rPr>
          <w:rFonts w:ascii="宋体" w:hAnsi="宋体" w:cs="宋体"/>
          <w:b/>
          <w:bCs/>
          <w:sz w:val="36"/>
          <w:szCs w:val="36"/>
        </w:rPr>
      </w:pPr>
    </w:p>
    <w:p>
      <w:pPr>
        <w:pStyle w:val="5"/>
        <w:widowControl/>
        <w:spacing w:before="0" w:beforeAutospacing="0" w:after="0" w:afterAutospacing="0" w:line="360" w:lineRule="auto"/>
        <w:ind w:left="1523" w:leftChars="209" w:hanging="1084" w:hangingChars="300"/>
        <w:jc w:val="both"/>
        <w:rPr>
          <w:rFonts w:ascii="宋体" w:hAnsi="宋体" w:cs="宋体"/>
          <w:b/>
          <w:bCs/>
          <w:sz w:val="36"/>
          <w:szCs w:val="36"/>
        </w:rPr>
      </w:pPr>
    </w:p>
    <w:p>
      <w:pPr>
        <w:pStyle w:val="5"/>
        <w:widowControl/>
        <w:spacing w:before="0" w:beforeAutospacing="0" w:after="0" w:afterAutospacing="0" w:line="360" w:lineRule="auto"/>
        <w:ind w:left="1523" w:leftChars="209" w:hanging="1084" w:hangingChars="300"/>
        <w:jc w:val="both"/>
        <w:rPr>
          <w:rFonts w:ascii="宋体" w:hAnsi="宋体" w:cs="宋体"/>
          <w:b/>
          <w:bCs/>
          <w:sz w:val="36"/>
          <w:szCs w:val="36"/>
        </w:rPr>
      </w:pPr>
    </w:p>
    <w:p>
      <w:pPr>
        <w:pStyle w:val="5"/>
        <w:widowControl/>
        <w:spacing w:before="0" w:beforeAutospacing="0" w:after="0" w:afterAutospacing="0" w:line="360" w:lineRule="auto"/>
        <w:ind w:left="1523" w:leftChars="209" w:hanging="1084" w:hangingChars="300"/>
        <w:jc w:val="both"/>
        <w:rPr>
          <w:rFonts w:ascii="宋体" w:hAnsi="宋体" w:cs="宋体"/>
          <w:b/>
          <w:bCs/>
          <w:sz w:val="36"/>
          <w:szCs w:val="36"/>
        </w:rPr>
      </w:pPr>
    </w:p>
    <w:p>
      <w:pPr>
        <w:pStyle w:val="5"/>
        <w:widowControl/>
        <w:spacing w:before="0" w:beforeAutospacing="0" w:after="0" w:afterAutospacing="0" w:line="360" w:lineRule="auto"/>
        <w:ind w:left="1523" w:leftChars="209" w:hanging="1084" w:hangingChars="300"/>
        <w:jc w:val="both"/>
        <w:rPr>
          <w:rFonts w:ascii="宋体" w:hAnsi="宋体" w:cs="宋体"/>
          <w:b/>
          <w:bCs/>
          <w:sz w:val="36"/>
          <w:szCs w:val="36"/>
        </w:rPr>
      </w:pPr>
    </w:p>
    <w:p>
      <w:pPr>
        <w:pStyle w:val="5"/>
        <w:widowControl/>
        <w:spacing w:before="0" w:beforeAutospacing="0" w:after="0" w:afterAutospacing="0" w:line="360" w:lineRule="auto"/>
        <w:ind w:left="1523" w:leftChars="209" w:hanging="1084" w:hangingChars="300"/>
        <w:jc w:val="both"/>
        <w:rPr>
          <w:rFonts w:ascii="宋体" w:hAnsi="宋体" w:cs="宋体"/>
          <w:b/>
          <w:bCs/>
          <w:sz w:val="36"/>
          <w:szCs w:val="36"/>
        </w:rPr>
      </w:pPr>
    </w:p>
    <w:p>
      <w:pPr>
        <w:pStyle w:val="5"/>
        <w:widowControl/>
        <w:spacing w:before="0" w:beforeAutospacing="0" w:after="0" w:afterAutospacing="0" w:line="360" w:lineRule="auto"/>
        <w:ind w:left="1523" w:leftChars="209" w:hanging="1084" w:hangingChars="300"/>
        <w:jc w:val="both"/>
        <w:rPr>
          <w:rFonts w:ascii="宋体" w:hAnsi="宋体" w:cs="宋体"/>
          <w:b/>
          <w:bCs/>
          <w:sz w:val="36"/>
          <w:szCs w:val="36"/>
        </w:rPr>
      </w:pPr>
    </w:p>
    <w:p>
      <w:pPr>
        <w:pStyle w:val="5"/>
        <w:widowControl/>
        <w:spacing w:before="0" w:beforeAutospacing="0" w:after="0" w:afterAutospacing="0" w:line="360" w:lineRule="auto"/>
        <w:ind w:left="1523" w:leftChars="209" w:hanging="1084" w:hangingChars="300"/>
        <w:jc w:val="both"/>
        <w:rPr>
          <w:rFonts w:ascii="宋体" w:hAnsi="宋体" w:cs="宋体"/>
          <w:b/>
          <w:bCs/>
          <w:sz w:val="36"/>
          <w:szCs w:val="36"/>
        </w:rPr>
      </w:pPr>
    </w:p>
    <w:p>
      <w:pPr>
        <w:pStyle w:val="5"/>
        <w:widowControl/>
        <w:spacing w:before="0" w:beforeAutospacing="0" w:after="0" w:afterAutospacing="0" w:line="360" w:lineRule="auto"/>
        <w:jc w:val="both"/>
        <w:rPr>
          <w:rFonts w:ascii="宋体" w:hAnsi="宋体" w:cs="宋体"/>
          <w:b/>
          <w:bCs/>
          <w:sz w:val="36"/>
          <w:szCs w:val="36"/>
        </w:rPr>
      </w:pPr>
    </w:p>
    <w:sectPr>
      <w:footerReference r:id="rId4" w:type="default"/>
      <w:pgSz w:w="11906" w:h="16838"/>
      <w:pgMar w:top="1701" w:right="1474" w:bottom="170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24"/>
        <w:lang w:val="en-US" w:eastAsia="zh-CN" w:bidi="ar-SA"/>
      </w:rPr>
      <w:pict>
        <v:shape id="Quad Arrow 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07317268">
    <w:nsid w:val="6BB97914"/>
    <w:multiLevelType w:val="singleLevel"/>
    <w:tmpl w:val="6BB97914"/>
    <w:lvl w:ilvl="0" w:tentative="1">
      <w:start w:val="10"/>
      <w:numFmt w:val="chineseCounting"/>
      <w:suff w:val="nothing"/>
      <w:lvlText w:val="（%1）"/>
      <w:lvlJc w:val="left"/>
      <w:rPr>
        <w:rFonts w:hint="eastAsia"/>
      </w:rPr>
    </w:lvl>
  </w:abstractNum>
  <w:num w:numId="1">
    <w:abstractNumId w:val="18073172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TEzYmYxZTNiN2FiNmY2ZTIyNTViOGRmYzA3MzkyMzI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2862</Words>
  <Characters>2911</Characters>
  <Lines>1</Lines>
  <Paragraphs>5</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2022-07-10T20:27:00Z</dcterms:created>
  <dc:creator>Administrator</dc:creator>
  <cp:lastModifiedBy>黔西南州民政局公文收发员（杨爱菊）</cp:lastModifiedBy>
  <cp:lastPrinted>2022-09-28T18:53:00Z</cp:lastPrinted>
  <dcterms:modified xsi:type="dcterms:W3CDTF">2022-10-18T02:07:27Z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55ADABF23B1642779D7FD2B8D513D01D</vt:lpwstr>
  </property>
</Properties>
</file>