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rPr>
          <w:rStyle w:val="7"/>
          <w:rFonts w:ascii="黑体" w:hAnsi="黑体" w:eastAsia="黑体"/>
          <w:sz w:val="32"/>
          <w:szCs w:val="32"/>
        </w:rPr>
      </w:pPr>
      <w:r>
        <w:rPr>
          <w:rStyle w:val="7"/>
          <w:rFonts w:ascii="黑体" w:hAnsi="黑体" w:eastAsia="黑体"/>
          <w:sz w:val="32"/>
          <w:szCs w:val="32"/>
        </w:rPr>
        <w:t>附件2</w:t>
      </w:r>
    </w:p>
    <w:p>
      <w:pPr>
        <w:pStyle w:val="9"/>
        <w:spacing w:line="500" w:lineRule="exact"/>
        <w:jc w:val="center"/>
        <w:rPr>
          <w:rStyle w:val="7"/>
          <w:rFonts w:ascii="方正小标宋_GBK" w:hAnsi="黑体" w:eastAsia="方正小标宋_GBK"/>
          <w:sz w:val="44"/>
          <w:szCs w:val="44"/>
        </w:rPr>
      </w:pPr>
    </w:p>
    <w:p>
      <w:pPr>
        <w:spacing w:line="500" w:lineRule="exact"/>
        <w:jc w:val="center"/>
        <w:rPr>
          <w:rStyle w:val="7"/>
          <w:rFonts w:ascii="方正小标宋_GBK" w:hAnsi="Courier New" w:eastAsia="方正小标宋_GBK"/>
          <w:sz w:val="36"/>
          <w:szCs w:val="36"/>
        </w:rPr>
      </w:pPr>
      <w:r>
        <w:rPr>
          <w:rStyle w:val="7"/>
          <w:rFonts w:ascii="方正小标宋_GBK" w:hAnsi="Courier New" w:eastAsia="方正小标宋_GBK"/>
          <w:sz w:val="36"/>
          <w:szCs w:val="36"/>
        </w:rPr>
        <w:t>2022年桂林市林业和园林局局属事业单位直接考核</w:t>
      </w:r>
    </w:p>
    <w:p>
      <w:pPr>
        <w:spacing w:line="500" w:lineRule="exact"/>
        <w:jc w:val="center"/>
        <w:rPr>
          <w:rStyle w:val="7"/>
          <w:rFonts w:ascii="方正小标宋简体" w:hAnsi="Courier New" w:eastAsia="方正小标宋简体"/>
          <w:b/>
          <w:sz w:val="36"/>
          <w:szCs w:val="36"/>
        </w:rPr>
      </w:pPr>
      <w:r>
        <w:rPr>
          <w:rStyle w:val="7"/>
          <w:rFonts w:ascii="方正小标宋_GBK" w:hAnsi="Courier New" w:eastAsia="方正小标宋_GBK"/>
          <w:sz w:val="36"/>
          <w:szCs w:val="36"/>
        </w:rPr>
        <w:t>公开招聘高层次专业技术人员考核评分细则</w:t>
      </w:r>
    </w:p>
    <w:p>
      <w:pPr>
        <w:spacing w:line="500" w:lineRule="exact"/>
        <w:ind w:firstLine="640" w:firstLineChars="200"/>
        <w:rPr>
          <w:rStyle w:val="7"/>
          <w:rFonts w:ascii="仿宋_GB2312" w:hAnsi="Times New Roman" w:eastAsia="仿宋_GB2312"/>
          <w:sz w:val="32"/>
          <w:szCs w:val="32"/>
        </w:rPr>
      </w:pPr>
    </w:p>
    <w:p>
      <w:pPr>
        <w:spacing w:line="560" w:lineRule="exact"/>
        <w:ind w:firstLine="640" w:firstLineChars="200"/>
        <w:rPr>
          <w:rStyle w:val="7"/>
          <w:rFonts w:ascii="仿宋_GB2312" w:hAnsi="Times New Roman" w:eastAsia="仿宋_GB2312"/>
          <w:sz w:val="32"/>
          <w:szCs w:val="32"/>
        </w:rPr>
      </w:pPr>
      <w:r>
        <w:rPr>
          <w:rStyle w:val="7"/>
          <w:rFonts w:ascii="仿宋_GB2312" w:hAnsi="Times New Roman" w:eastAsia="仿宋_GB2312"/>
          <w:sz w:val="32"/>
          <w:szCs w:val="32"/>
        </w:rPr>
        <w:t>2022年桂林市林业和园林局局属事业单位直接考核公开招聘高层次专业技术人员的考核标准采取量化考核评分。具体量化内容及评分标准如下：</w:t>
      </w:r>
    </w:p>
    <w:p>
      <w:pPr>
        <w:spacing w:line="560" w:lineRule="exact"/>
        <w:ind w:firstLine="608" w:firstLineChars="200"/>
        <w:rPr>
          <w:rStyle w:val="7"/>
          <w:rFonts w:hint="default" w:ascii="仿宋_GB2312" w:hAnsi="Times New Roman" w:eastAsia="仿宋_GB2312"/>
          <w:sz w:val="32"/>
          <w:szCs w:val="32"/>
          <w:lang w:val="en-US" w:eastAsia="zh-CN"/>
        </w:rPr>
      </w:pPr>
      <w:r>
        <w:rPr>
          <w:rStyle w:val="7"/>
          <w:rFonts w:ascii="黑体" w:hAnsi="黑体" w:eastAsia="黑体" w:cs="Times New Roman"/>
          <w:bCs/>
          <w:spacing w:val="-8"/>
          <w:sz w:val="32"/>
          <w:szCs w:val="32"/>
        </w:rPr>
        <w:t>一</w:t>
      </w:r>
      <w:r>
        <w:rPr>
          <w:rStyle w:val="7"/>
          <w:rFonts w:ascii="黑体" w:hAnsi="黑体" w:eastAsia="黑体"/>
          <w:sz w:val="32"/>
          <w:szCs w:val="32"/>
        </w:rPr>
        <w:t>、技术职称分：</w:t>
      </w:r>
      <w:r>
        <w:rPr>
          <w:rStyle w:val="7"/>
          <w:rFonts w:ascii="仿宋_GB2312" w:hAnsi="Times New Roman" w:eastAsia="仿宋_GB2312"/>
          <w:sz w:val="32"/>
          <w:szCs w:val="32"/>
        </w:rPr>
        <w:t>正高职称3</w:t>
      </w:r>
      <w:r>
        <w:rPr>
          <w:rStyle w:val="7"/>
          <w:rFonts w:hint="eastAsia" w:ascii="仿宋_GB2312" w:hAnsi="Times New Roman" w:eastAsia="仿宋_GB2312"/>
          <w:sz w:val="32"/>
          <w:szCs w:val="32"/>
          <w:lang w:val="en-US" w:eastAsia="zh-CN"/>
        </w:rPr>
        <w:t>0</w:t>
      </w:r>
      <w:r>
        <w:rPr>
          <w:rStyle w:val="7"/>
          <w:rFonts w:ascii="仿宋_GB2312" w:hAnsi="Times New Roman" w:eastAsia="仿宋_GB2312"/>
          <w:sz w:val="32"/>
          <w:szCs w:val="32"/>
        </w:rPr>
        <w:t>分，副高职称</w:t>
      </w:r>
      <w:r>
        <w:rPr>
          <w:rStyle w:val="7"/>
          <w:rFonts w:hint="eastAsia" w:ascii="仿宋_GB2312" w:hAnsi="Times New Roman" w:eastAsia="仿宋_GB2312"/>
          <w:sz w:val="32"/>
          <w:szCs w:val="32"/>
          <w:lang w:val="en-US" w:eastAsia="zh-CN"/>
        </w:rPr>
        <w:t>28</w:t>
      </w:r>
      <w:r>
        <w:rPr>
          <w:rStyle w:val="7"/>
          <w:rFonts w:ascii="仿宋_GB2312" w:hAnsi="Times New Roman" w:eastAsia="仿宋_GB2312"/>
          <w:sz w:val="32"/>
          <w:szCs w:val="32"/>
        </w:rPr>
        <w:t>分。</w:t>
      </w:r>
    </w:p>
    <w:p>
      <w:pPr>
        <w:spacing w:line="560" w:lineRule="exact"/>
        <w:ind w:firstLine="640" w:firstLineChars="200"/>
        <w:rPr>
          <w:rStyle w:val="7"/>
          <w:rFonts w:ascii="仿宋_GB2312" w:hAnsi="仿宋" w:eastAsia="仿宋_GB2312"/>
          <w:sz w:val="32"/>
          <w:szCs w:val="32"/>
        </w:rPr>
      </w:pPr>
      <w:r>
        <w:rPr>
          <w:rStyle w:val="7"/>
          <w:rFonts w:ascii="黑体" w:hAnsi="黑体" w:eastAsia="黑体"/>
          <w:sz w:val="32"/>
          <w:szCs w:val="32"/>
        </w:rPr>
        <w:t>二、</w:t>
      </w:r>
      <w:r>
        <w:rPr>
          <w:rStyle w:val="7"/>
          <w:rFonts w:ascii="黑体" w:hAnsi="黑体" w:eastAsia="黑体" w:cs="仿宋_GB2312"/>
          <w:bCs/>
          <w:spacing w:val="-8"/>
          <w:sz w:val="32"/>
          <w:szCs w:val="32"/>
        </w:rPr>
        <w:t>执业资格</w:t>
      </w:r>
      <w:r>
        <w:rPr>
          <w:rStyle w:val="7"/>
          <w:rFonts w:ascii="黑体" w:hAnsi="黑体" w:eastAsia="黑体"/>
          <w:sz w:val="32"/>
          <w:szCs w:val="32"/>
        </w:rPr>
        <w:t>分：</w:t>
      </w:r>
      <w:r>
        <w:rPr>
          <w:rStyle w:val="7"/>
          <w:rFonts w:ascii="仿宋_GB2312" w:hAnsi="Times New Roman" w:eastAsia="仿宋_GB2312"/>
          <w:sz w:val="32"/>
          <w:szCs w:val="32"/>
        </w:rPr>
        <w:t>取得土地估价师资格和房地产估价师资格</w:t>
      </w:r>
      <w:r>
        <w:rPr>
          <w:rStyle w:val="7"/>
          <w:rFonts w:ascii="仿宋_GB2312" w:hAnsi="仿宋" w:eastAsia="仿宋_GB2312"/>
          <w:sz w:val="32"/>
          <w:szCs w:val="32"/>
        </w:rPr>
        <w:t>得</w:t>
      </w:r>
      <w:r>
        <w:rPr>
          <w:rStyle w:val="7"/>
          <w:rFonts w:hint="eastAsia" w:ascii="仿宋_GB2312" w:hAnsi="仿宋" w:eastAsia="仿宋_GB2312"/>
          <w:sz w:val="32"/>
          <w:szCs w:val="32"/>
          <w:lang w:val="en-US" w:eastAsia="zh-CN"/>
        </w:rPr>
        <w:t>15</w:t>
      </w:r>
      <w:r>
        <w:rPr>
          <w:rStyle w:val="7"/>
          <w:rFonts w:ascii="仿宋_GB2312" w:hAnsi="仿宋" w:eastAsia="仿宋_GB2312"/>
          <w:sz w:val="32"/>
          <w:szCs w:val="32"/>
        </w:rPr>
        <w:t>分。</w:t>
      </w:r>
    </w:p>
    <w:p>
      <w:pPr>
        <w:spacing w:line="560" w:lineRule="exact"/>
        <w:ind w:firstLine="640" w:firstLineChars="200"/>
        <w:rPr>
          <w:rStyle w:val="7"/>
          <w:rFonts w:ascii="仿宋_GB2312" w:hAnsi="仿宋" w:eastAsia="仿宋_GB2312"/>
          <w:sz w:val="32"/>
          <w:szCs w:val="32"/>
        </w:rPr>
      </w:pPr>
      <w:r>
        <w:rPr>
          <w:rStyle w:val="7"/>
          <w:rFonts w:ascii="黑体" w:hAnsi="黑体" w:eastAsia="黑体"/>
          <w:sz w:val="32"/>
          <w:szCs w:val="32"/>
        </w:rPr>
        <w:t>三、业绩分：</w:t>
      </w:r>
      <w:r>
        <w:rPr>
          <w:rStyle w:val="7"/>
          <w:rFonts w:ascii="仿宋_GB2312" w:hAnsi="仿宋" w:eastAsia="仿宋_GB2312"/>
          <w:sz w:val="32"/>
          <w:szCs w:val="32"/>
        </w:rPr>
        <w:t>参与评估</w:t>
      </w:r>
      <w:r>
        <w:rPr>
          <w:rStyle w:val="7"/>
          <w:rFonts w:hint="eastAsia" w:ascii="仿宋_GB2312" w:hAnsi="仿宋" w:eastAsia="仿宋_GB2312"/>
          <w:sz w:val="32"/>
          <w:szCs w:val="32"/>
        </w:rPr>
        <w:t>的土地项目或房地产</w:t>
      </w:r>
      <w:r>
        <w:rPr>
          <w:rStyle w:val="7"/>
          <w:rFonts w:ascii="仿宋_GB2312" w:hAnsi="仿宋" w:eastAsia="仿宋_GB2312"/>
          <w:sz w:val="32"/>
          <w:szCs w:val="32"/>
        </w:rPr>
        <w:t>项目</w:t>
      </w:r>
      <w:r>
        <w:rPr>
          <w:rStyle w:val="7"/>
          <w:rFonts w:hint="eastAsia" w:ascii="仿宋_GB2312" w:hAnsi="仿宋" w:eastAsia="仿宋_GB2312"/>
          <w:sz w:val="32"/>
          <w:szCs w:val="32"/>
        </w:rPr>
        <w:t>[评估面积</w:t>
      </w:r>
      <w:r>
        <w:rPr>
          <w:rStyle w:val="7"/>
          <w:rFonts w:ascii="仿宋_GB2312" w:hAnsi="仿宋" w:eastAsia="仿宋_GB2312"/>
          <w:sz w:val="32"/>
          <w:szCs w:val="32"/>
        </w:rPr>
        <w:t>2000</w:t>
      </w:r>
      <w:r>
        <w:rPr>
          <w:rStyle w:val="7"/>
          <w:rFonts w:ascii="宋体" w:hAnsi="宋体"/>
          <w:sz w:val="32"/>
          <w:szCs w:val="32"/>
        </w:rPr>
        <w:t>㎡（含）</w:t>
      </w:r>
      <w:r>
        <w:rPr>
          <w:rStyle w:val="7"/>
          <w:rFonts w:ascii="仿宋_GB2312" w:hAnsi="仿宋" w:eastAsia="仿宋_GB2312"/>
          <w:sz w:val="32"/>
          <w:szCs w:val="32"/>
        </w:rPr>
        <w:t>以上或评估金额达1000万元人民币（含）以上</w:t>
      </w:r>
      <w:r>
        <w:rPr>
          <w:rStyle w:val="7"/>
          <w:rFonts w:hint="eastAsia" w:ascii="仿宋_GB2312" w:hAnsi="仿宋" w:eastAsia="仿宋_GB2312"/>
          <w:sz w:val="32"/>
          <w:szCs w:val="32"/>
        </w:rPr>
        <w:t>]</w:t>
      </w:r>
      <w:r>
        <w:rPr>
          <w:rStyle w:val="7"/>
          <w:rFonts w:ascii="仿宋_GB2312" w:hAnsi="仿宋" w:eastAsia="仿宋_GB2312"/>
          <w:sz w:val="32"/>
          <w:szCs w:val="32"/>
          <w:highlight w:val="none"/>
        </w:rPr>
        <w:t>每宗得</w:t>
      </w:r>
      <w:r>
        <w:rPr>
          <w:rStyle w:val="7"/>
          <w:rFonts w:hint="eastAsia" w:ascii="仿宋_GB2312" w:hAnsi="仿宋" w:eastAsia="仿宋_GB2312"/>
          <w:sz w:val="32"/>
          <w:szCs w:val="32"/>
          <w:highlight w:val="none"/>
          <w:lang w:val="en-US" w:eastAsia="zh-CN"/>
        </w:rPr>
        <w:t>2</w:t>
      </w:r>
      <w:r>
        <w:rPr>
          <w:rStyle w:val="7"/>
          <w:rFonts w:ascii="仿宋_GB2312" w:hAnsi="仿宋" w:eastAsia="仿宋_GB2312"/>
          <w:sz w:val="32"/>
          <w:szCs w:val="32"/>
          <w:highlight w:val="none"/>
        </w:rPr>
        <w:t>分</w:t>
      </w:r>
      <w:r>
        <w:rPr>
          <w:rStyle w:val="7"/>
          <w:rFonts w:hint="eastAsia" w:ascii="仿宋_GB2312" w:hAnsi="仿宋" w:eastAsia="仿宋_GB2312"/>
          <w:sz w:val="32"/>
          <w:szCs w:val="32"/>
          <w:highlight w:val="none"/>
        </w:rPr>
        <w:t>，</w:t>
      </w:r>
      <w:r>
        <w:rPr>
          <w:rStyle w:val="7"/>
          <w:rFonts w:hint="eastAsia" w:ascii="仿宋_GB2312" w:hAnsi="仿宋" w:eastAsia="仿宋_GB2312"/>
          <w:sz w:val="32"/>
          <w:szCs w:val="32"/>
          <w:highlight w:val="none"/>
          <w:lang w:eastAsia="zh-CN"/>
        </w:rPr>
        <w:t>满分</w:t>
      </w:r>
      <w:r>
        <w:rPr>
          <w:rStyle w:val="7"/>
          <w:rFonts w:hint="eastAsia" w:ascii="仿宋_GB2312" w:hAnsi="仿宋" w:eastAsia="仿宋_GB2312"/>
          <w:sz w:val="32"/>
          <w:szCs w:val="32"/>
          <w:highlight w:val="none"/>
          <w:lang w:val="en-US" w:eastAsia="zh-CN"/>
        </w:rPr>
        <w:t>20分。</w:t>
      </w:r>
      <w:r>
        <w:rPr>
          <w:rStyle w:val="7"/>
          <w:rFonts w:hint="eastAsia" w:ascii="仿宋_GB2312" w:hAnsi="仿宋" w:eastAsia="仿宋_GB2312"/>
          <w:sz w:val="32"/>
          <w:szCs w:val="32"/>
        </w:rPr>
        <w:t>同一合同项目只计一次分。</w:t>
      </w:r>
      <w:r>
        <w:rPr>
          <w:rStyle w:val="7"/>
          <w:rFonts w:hint="eastAsia" w:ascii="仿宋_GB2312" w:hAnsi="仿宋" w:eastAsia="仿宋_GB2312" w:cs="仿宋_GB2312"/>
          <w:sz w:val="32"/>
          <w:szCs w:val="32"/>
        </w:rPr>
        <w:t>提供的材料为项目单位有关合同或相关业绩证明材</w:t>
      </w:r>
      <w:bookmarkStart w:id="0" w:name="_GoBack"/>
      <w:bookmarkEnd w:id="0"/>
      <w:r>
        <w:rPr>
          <w:rStyle w:val="7"/>
          <w:rFonts w:hint="eastAsia" w:ascii="仿宋_GB2312" w:hAnsi="仿宋" w:eastAsia="仿宋_GB2312" w:cs="仿宋_GB2312"/>
          <w:sz w:val="32"/>
          <w:szCs w:val="32"/>
        </w:rPr>
        <w:t>料。</w:t>
      </w:r>
    </w:p>
    <w:p>
      <w:pPr>
        <w:spacing w:line="560" w:lineRule="exact"/>
        <w:ind w:firstLine="640" w:firstLineChars="200"/>
        <w:rPr>
          <w:rStyle w:val="7"/>
          <w:rFonts w:ascii="仿宋_GB2312" w:hAnsi="Times New Roman" w:eastAsia="仿宋_GB2312"/>
          <w:kern w:val="0"/>
          <w:sz w:val="32"/>
          <w:szCs w:val="32"/>
        </w:rPr>
      </w:pPr>
      <w:r>
        <w:rPr>
          <w:rStyle w:val="7"/>
          <w:rFonts w:ascii="黑体" w:hAnsi="黑体" w:eastAsia="黑体"/>
          <w:sz w:val="32"/>
          <w:szCs w:val="32"/>
        </w:rPr>
        <w:t>四、从事土地及房地产（三产、门面）等评估工作年限分：</w:t>
      </w:r>
      <w:r>
        <w:rPr>
          <w:rStyle w:val="7"/>
          <w:rFonts w:ascii="仿宋_GB2312" w:hAnsi="Times New Roman" w:eastAsia="仿宋_GB2312"/>
          <w:kern w:val="0"/>
          <w:sz w:val="32"/>
          <w:szCs w:val="32"/>
        </w:rPr>
        <w:t>从事专业工作</w:t>
      </w:r>
      <w:r>
        <w:rPr>
          <w:rStyle w:val="7"/>
          <w:rFonts w:hint="eastAsia" w:ascii="仿宋_GB2312" w:hAnsi="Times New Roman" w:eastAsia="仿宋_GB2312"/>
          <w:kern w:val="0"/>
          <w:sz w:val="32"/>
          <w:szCs w:val="32"/>
          <w:lang w:eastAsia="zh-CN"/>
        </w:rPr>
        <w:t>每满</w:t>
      </w:r>
      <w:r>
        <w:rPr>
          <w:rStyle w:val="7"/>
          <w:rFonts w:ascii="仿宋_GB2312" w:hAnsi="Times New Roman" w:eastAsia="仿宋_GB2312"/>
          <w:kern w:val="0"/>
          <w:sz w:val="32"/>
          <w:szCs w:val="32"/>
        </w:rPr>
        <w:t>1年</w:t>
      </w:r>
      <w:r>
        <w:rPr>
          <w:rStyle w:val="7"/>
          <w:rFonts w:hint="eastAsia" w:ascii="仿宋_GB2312" w:hAnsi="Times New Roman" w:eastAsia="仿宋_GB2312"/>
          <w:kern w:val="0"/>
          <w:sz w:val="32"/>
          <w:szCs w:val="32"/>
        </w:rPr>
        <w:t>（含）</w:t>
      </w:r>
      <w:r>
        <w:rPr>
          <w:rStyle w:val="7"/>
          <w:rFonts w:ascii="仿宋_GB2312" w:hAnsi="Times New Roman" w:eastAsia="仿宋_GB2312"/>
          <w:kern w:val="0"/>
          <w:sz w:val="32"/>
          <w:szCs w:val="32"/>
        </w:rPr>
        <w:t>得</w:t>
      </w:r>
      <w:r>
        <w:rPr>
          <w:rStyle w:val="7"/>
          <w:rFonts w:hint="eastAsia" w:ascii="仿宋_GB2312" w:hAnsi="Times New Roman" w:eastAsia="仿宋_GB2312"/>
          <w:kern w:val="0"/>
          <w:sz w:val="32"/>
          <w:szCs w:val="32"/>
          <w:lang w:val="en-US" w:eastAsia="zh-CN"/>
        </w:rPr>
        <w:t>1</w:t>
      </w:r>
      <w:r>
        <w:rPr>
          <w:rStyle w:val="7"/>
          <w:rFonts w:ascii="仿宋_GB2312" w:hAnsi="Times New Roman" w:eastAsia="仿宋_GB2312"/>
          <w:kern w:val="0"/>
          <w:sz w:val="32"/>
          <w:szCs w:val="32"/>
        </w:rPr>
        <w:t>分</w:t>
      </w:r>
      <w:r>
        <w:rPr>
          <w:rStyle w:val="7"/>
          <w:rFonts w:hint="eastAsia" w:ascii="仿宋_GB2312" w:hAnsi="Times New Roman" w:eastAsia="仿宋_GB2312"/>
          <w:kern w:val="0"/>
          <w:sz w:val="32"/>
          <w:szCs w:val="32"/>
        </w:rPr>
        <w:t>，</w:t>
      </w:r>
      <w:r>
        <w:rPr>
          <w:rStyle w:val="7"/>
          <w:rFonts w:hint="eastAsia" w:ascii="仿宋_GB2312" w:hAnsi="Times New Roman" w:eastAsia="仿宋_GB2312"/>
          <w:kern w:val="0"/>
          <w:sz w:val="32"/>
          <w:szCs w:val="32"/>
          <w:lang w:eastAsia="zh-CN"/>
        </w:rPr>
        <w:t>满分</w:t>
      </w:r>
      <w:r>
        <w:rPr>
          <w:rStyle w:val="7"/>
          <w:rFonts w:hint="eastAsia" w:ascii="仿宋_GB2312" w:hAnsi="Times New Roman" w:eastAsia="仿宋_GB2312"/>
          <w:kern w:val="0"/>
          <w:sz w:val="32"/>
          <w:szCs w:val="32"/>
          <w:lang w:val="en-US" w:eastAsia="zh-CN"/>
        </w:rPr>
        <w:t>15分</w:t>
      </w:r>
      <w:r>
        <w:rPr>
          <w:rStyle w:val="7"/>
          <w:rFonts w:ascii="仿宋_GB2312" w:hAnsi="Times New Roman" w:eastAsia="仿宋_GB2312"/>
          <w:kern w:val="0"/>
          <w:sz w:val="32"/>
          <w:szCs w:val="32"/>
        </w:rPr>
        <w:t>。</w:t>
      </w:r>
      <w:r>
        <w:rPr>
          <w:rStyle w:val="7"/>
          <w:rFonts w:hint="eastAsia" w:ascii="仿宋_GB2312" w:hAnsi="Times New Roman" w:eastAsia="仿宋_GB2312"/>
          <w:kern w:val="0"/>
          <w:sz w:val="32"/>
          <w:szCs w:val="32"/>
        </w:rPr>
        <w:t>提供</w:t>
      </w:r>
      <w:r>
        <w:rPr>
          <w:rStyle w:val="7"/>
          <w:rFonts w:ascii="仿宋_GB2312" w:hAnsi="Times New Roman" w:eastAsia="仿宋_GB2312"/>
          <w:kern w:val="0"/>
          <w:sz w:val="32"/>
          <w:szCs w:val="32"/>
        </w:rPr>
        <w:t>工作单位</w:t>
      </w:r>
      <w:r>
        <w:rPr>
          <w:rStyle w:val="7"/>
          <w:rFonts w:hint="eastAsia" w:ascii="仿宋_GB2312" w:hAnsi="Times New Roman" w:eastAsia="仿宋_GB2312"/>
          <w:kern w:val="0"/>
          <w:sz w:val="32"/>
          <w:szCs w:val="32"/>
        </w:rPr>
        <w:t>出具的从事专业工作年限相关</w:t>
      </w:r>
      <w:r>
        <w:rPr>
          <w:rStyle w:val="7"/>
          <w:rFonts w:ascii="仿宋_GB2312" w:hAnsi="Times New Roman" w:eastAsia="仿宋_GB2312"/>
          <w:kern w:val="0"/>
          <w:sz w:val="32"/>
          <w:szCs w:val="32"/>
        </w:rPr>
        <w:t>证明及缴纳社保证明</w:t>
      </w:r>
      <w:r>
        <w:rPr>
          <w:rStyle w:val="7"/>
          <w:rFonts w:hint="eastAsia" w:ascii="仿宋_GB2312" w:hAnsi="Times New Roman" w:eastAsia="仿宋_GB2312"/>
          <w:kern w:val="0"/>
          <w:sz w:val="32"/>
          <w:szCs w:val="32"/>
        </w:rPr>
        <w:t>等材料。</w:t>
      </w:r>
    </w:p>
    <w:p>
      <w:pPr>
        <w:spacing w:line="560" w:lineRule="exact"/>
        <w:ind w:firstLine="640" w:firstLineChars="200"/>
        <w:rPr>
          <w:rStyle w:val="7"/>
          <w:rFonts w:hint="eastAsia" w:ascii="仿宋_GB2312" w:hAnsi="Times New Roman" w:eastAsia="仿宋_GB2312"/>
          <w:kern w:val="0"/>
          <w:sz w:val="32"/>
          <w:szCs w:val="32"/>
        </w:rPr>
      </w:pPr>
      <w:r>
        <w:rPr>
          <w:rStyle w:val="7"/>
          <w:rFonts w:ascii="黑体" w:hAnsi="黑体" w:eastAsia="黑体"/>
          <w:sz w:val="32"/>
          <w:szCs w:val="32"/>
        </w:rPr>
        <w:t>五、学历分：</w:t>
      </w:r>
      <w:r>
        <w:rPr>
          <w:rStyle w:val="7"/>
          <w:rFonts w:hint="eastAsia" w:ascii="仿宋_GB2312" w:hAnsi="Times New Roman" w:eastAsia="仿宋_GB2312"/>
          <w:kern w:val="0"/>
          <w:sz w:val="32"/>
          <w:szCs w:val="32"/>
        </w:rPr>
        <w:t>博士研究生1</w:t>
      </w:r>
      <w:r>
        <w:rPr>
          <w:rStyle w:val="7"/>
          <w:rFonts w:hint="eastAsia" w:ascii="仿宋_GB2312" w:hAnsi="Times New Roman" w:eastAsia="仿宋_GB2312"/>
          <w:kern w:val="0"/>
          <w:sz w:val="32"/>
          <w:szCs w:val="32"/>
          <w:lang w:val="en-US" w:eastAsia="zh-CN"/>
        </w:rPr>
        <w:t>2</w:t>
      </w:r>
      <w:r>
        <w:rPr>
          <w:rStyle w:val="7"/>
          <w:rFonts w:hint="eastAsia" w:ascii="仿宋_GB2312" w:hAnsi="Times New Roman" w:eastAsia="仿宋_GB2312"/>
          <w:kern w:val="0"/>
          <w:sz w:val="32"/>
          <w:szCs w:val="32"/>
        </w:rPr>
        <w:t>分，硕士研究生</w:t>
      </w:r>
      <w:r>
        <w:rPr>
          <w:rStyle w:val="7"/>
          <w:rFonts w:hint="eastAsia" w:ascii="仿宋_GB2312" w:hAnsi="Times New Roman" w:eastAsia="仿宋_GB2312"/>
          <w:kern w:val="0"/>
          <w:sz w:val="32"/>
          <w:szCs w:val="32"/>
          <w:lang w:val="en-US" w:eastAsia="zh-CN"/>
        </w:rPr>
        <w:t>10</w:t>
      </w:r>
      <w:r>
        <w:rPr>
          <w:rStyle w:val="7"/>
          <w:rFonts w:hint="eastAsia" w:ascii="仿宋_GB2312" w:hAnsi="Times New Roman" w:eastAsia="仿宋_GB2312"/>
          <w:kern w:val="0"/>
          <w:sz w:val="32"/>
          <w:szCs w:val="32"/>
        </w:rPr>
        <w:t>分，</w:t>
      </w:r>
      <w:r>
        <w:rPr>
          <w:rStyle w:val="7"/>
          <w:rFonts w:hint="eastAsia" w:ascii="仿宋_GB2312" w:hAnsi="Times New Roman" w:eastAsia="仿宋_GB2312"/>
          <w:kern w:val="0"/>
          <w:sz w:val="32"/>
          <w:szCs w:val="32"/>
          <w:lang w:eastAsia="zh-CN"/>
        </w:rPr>
        <w:t>取得学位</w:t>
      </w:r>
      <w:r>
        <w:rPr>
          <w:rStyle w:val="7"/>
          <w:rFonts w:hint="eastAsia" w:ascii="仿宋_GB2312" w:hAnsi="Times New Roman" w:eastAsia="仿宋_GB2312"/>
          <w:kern w:val="0"/>
          <w:sz w:val="32"/>
          <w:szCs w:val="32"/>
        </w:rPr>
        <w:t>本科学历</w:t>
      </w:r>
      <w:r>
        <w:rPr>
          <w:rStyle w:val="7"/>
          <w:rFonts w:hint="eastAsia" w:ascii="仿宋_GB2312" w:hAnsi="Times New Roman" w:eastAsia="仿宋_GB2312"/>
          <w:kern w:val="0"/>
          <w:sz w:val="32"/>
          <w:szCs w:val="32"/>
          <w:lang w:val="en-US" w:eastAsia="zh-CN"/>
        </w:rPr>
        <w:t>8</w:t>
      </w:r>
      <w:r>
        <w:rPr>
          <w:rStyle w:val="7"/>
          <w:rFonts w:hint="eastAsia" w:ascii="仿宋_GB2312" w:hAnsi="Times New Roman" w:eastAsia="仿宋_GB2312"/>
          <w:kern w:val="0"/>
          <w:sz w:val="32"/>
          <w:szCs w:val="32"/>
        </w:rPr>
        <w:t>分，</w:t>
      </w:r>
      <w:r>
        <w:rPr>
          <w:rStyle w:val="7"/>
          <w:rFonts w:hint="eastAsia" w:ascii="仿宋_GB2312" w:hAnsi="Times New Roman" w:eastAsia="仿宋_GB2312"/>
          <w:kern w:val="0"/>
          <w:sz w:val="32"/>
          <w:szCs w:val="32"/>
          <w:lang w:eastAsia="zh-CN"/>
        </w:rPr>
        <w:t>无学位本科学历</w:t>
      </w:r>
      <w:r>
        <w:rPr>
          <w:rStyle w:val="7"/>
          <w:rFonts w:hint="eastAsia" w:ascii="仿宋_GB2312" w:hAnsi="Times New Roman" w:eastAsia="仿宋_GB2312"/>
          <w:kern w:val="0"/>
          <w:sz w:val="32"/>
          <w:szCs w:val="32"/>
          <w:lang w:val="en-US" w:eastAsia="zh-CN"/>
        </w:rPr>
        <w:t>7分，</w:t>
      </w:r>
      <w:r>
        <w:rPr>
          <w:rStyle w:val="7"/>
          <w:rFonts w:hint="eastAsia" w:ascii="仿宋_GB2312" w:hAnsi="Times New Roman" w:eastAsia="仿宋_GB2312"/>
          <w:kern w:val="0"/>
          <w:sz w:val="32"/>
          <w:szCs w:val="32"/>
        </w:rPr>
        <w:t>大专学历</w:t>
      </w:r>
      <w:r>
        <w:rPr>
          <w:rStyle w:val="7"/>
          <w:rFonts w:hint="eastAsia" w:ascii="仿宋_GB2312" w:hAnsi="Times New Roman" w:eastAsia="仿宋_GB2312"/>
          <w:kern w:val="0"/>
          <w:sz w:val="32"/>
          <w:szCs w:val="32"/>
          <w:lang w:val="en-US" w:eastAsia="zh-CN"/>
        </w:rPr>
        <w:t>6</w:t>
      </w:r>
      <w:r>
        <w:rPr>
          <w:rStyle w:val="7"/>
          <w:rFonts w:hint="eastAsia" w:ascii="仿宋_GB2312" w:hAnsi="Times New Roman" w:eastAsia="仿宋_GB2312"/>
          <w:kern w:val="0"/>
          <w:sz w:val="32"/>
          <w:szCs w:val="32"/>
        </w:rPr>
        <w:t>分。</w:t>
      </w:r>
    </w:p>
    <w:p>
      <w:pPr>
        <w:spacing w:line="560" w:lineRule="exact"/>
        <w:ind w:firstLine="640" w:firstLineChars="200"/>
        <w:rPr>
          <w:rStyle w:val="7"/>
          <w:rFonts w:ascii="仿宋_GB2312" w:hAnsi="仿宋" w:eastAsia="仿宋_GB2312"/>
          <w:sz w:val="32"/>
          <w:szCs w:val="32"/>
        </w:rPr>
      </w:pPr>
      <w:r>
        <w:rPr>
          <w:rStyle w:val="7"/>
          <w:rFonts w:ascii="黑体" w:hAnsi="黑体" w:eastAsia="黑体"/>
          <w:sz w:val="32"/>
          <w:szCs w:val="32"/>
        </w:rPr>
        <w:t>六、发表学术论文分：</w:t>
      </w:r>
      <w:r>
        <w:rPr>
          <w:rStyle w:val="7"/>
          <w:rFonts w:ascii="仿宋_GB2312" w:hAnsi="仿宋" w:eastAsia="仿宋_GB2312"/>
          <w:sz w:val="32"/>
          <w:szCs w:val="32"/>
        </w:rPr>
        <w:t>在所学专业领域或工作领域正式发表学术论文每1篇得</w:t>
      </w:r>
      <w:r>
        <w:rPr>
          <w:rStyle w:val="7"/>
          <w:rFonts w:hint="eastAsia" w:ascii="仿宋_GB2312" w:hAnsi="仿宋" w:eastAsia="仿宋_GB2312"/>
          <w:sz w:val="32"/>
          <w:szCs w:val="32"/>
          <w:lang w:val="en-US" w:eastAsia="zh-CN"/>
        </w:rPr>
        <w:t>4</w:t>
      </w:r>
      <w:r>
        <w:rPr>
          <w:rStyle w:val="7"/>
          <w:rFonts w:ascii="仿宋_GB2312" w:hAnsi="仿宋" w:eastAsia="仿宋_GB2312"/>
          <w:sz w:val="32"/>
          <w:szCs w:val="32"/>
        </w:rPr>
        <w:t>分，最高得分</w:t>
      </w:r>
      <w:r>
        <w:rPr>
          <w:rStyle w:val="7"/>
          <w:rFonts w:hint="eastAsia" w:ascii="仿宋_GB2312" w:hAnsi="仿宋" w:eastAsia="仿宋_GB2312"/>
          <w:sz w:val="32"/>
          <w:szCs w:val="32"/>
          <w:lang w:val="en-US" w:eastAsia="zh-CN"/>
        </w:rPr>
        <w:t>8</w:t>
      </w:r>
      <w:r>
        <w:rPr>
          <w:rStyle w:val="7"/>
          <w:rFonts w:ascii="仿宋_GB2312" w:hAnsi="仿宋" w:eastAsia="仿宋_GB2312"/>
          <w:sz w:val="32"/>
          <w:szCs w:val="32"/>
        </w:rPr>
        <w:t>分。</w:t>
      </w:r>
    </w:p>
    <w:p>
      <w:pPr>
        <w:spacing w:line="560" w:lineRule="exact"/>
        <w:ind w:firstLine="640" w:firstLineChars="200"/>
        <w:rPr>
          <w:rStyle w:val="7"/>
          <w:rFonts w:ascii="黑体" w:hAnsi="黑体" w:eastAsia="黑体"/>
          <w:kern w:val="0"/>
          <w:sz w:val="32"/>
          <w:szCs w:val="32"/>
        </w:rPr>
      </w:pPr>
      <w:r>
        <w:rPr>
          <w:rStyle w:val="7"/>
          <w:rFonts w:ascii="黑体" w:hAnsi="黑体" w:eastAsia="黑体"/>
          <w:sz w:val="32"/>
          <w:szCs w:val="32"/>
        </w:rPr>
        <w:t>七、本次招聘量化评分考核细则，年限计算截止日期2022年</w:t>
      </w:r>
      <w:r>
        <w:rPr>
          <w:rStyle w:val="7"/>
          <w:rFonts w:ascii="黑体" w:hAnsi="黑体" w:eastAsia="黑体"/>
          <w:color w:val="auto"/>
          <w:sz w:val="32"/>
          <w:szCs w:val="32"/>
          <w:highlight w:val="none"/>
        </w:rPr>
        <w:t>10月</w:t>
      </w:r>
      <w:r>
        <w:rPr>
          <w:rStyle w:val="7"/>
          <w:rFonts w:hint="eastAsia" w:ascii="黑体" w:hAnsi="黑体" w:eastAsia="黑体"/>
          <w:color w:val="auto"/>
          <w:sz w:val="32"/>
          <w:szCs w:val="32"/>
          <w:highlight w:val="none"/>
          <w:lang w:val="en-US" w:eastAsia="zh-CN"/>
        </w:rPr>
        <w:t>27</w:t>
      </w:r>
      <w:r>
        <w:rPr>
          <w:rStyle w:val="7"/>
          <w:rFonts w:ascii="黑体" w:hAnsi="黑体" w:eastAsia="黑体"/>
          <w:color w:val="auto"/>
          <w:sz w:val="32"/>
          <w:szCs w:val="32"/>
          <w:highlight w:val="none"/>
        </w:rPr>
        <w:t>日</w:t>
      </w:r>
      <w:r>
        <w:rPr>
          <w:rStyle w:val="7"/>
          <w:rFonts w:ascii="黑体" w:hAnsi="黑体" w:eastAsia="黑体"/>
          <w:sz w:val="32"/>
          <w:szCs w:val="32"/>
        </w:rPr>
        <w:t>，年限按足年足月累计。</w:t>
      </w:r>
    </w:p>
    <w:sectPr>
      <w:footerReference r:id="rId3" w:type="default"/>
      <w:pgSz w:w="11906" w:h="16838"/>
      <w:pgMar w:top="1701"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7"/>
      </w:rPr>
    </w:pPr>
    <w:r>
      <w:rPr>
        <w:rStyle w:val="7"/>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snapToGrid w:val="0"/>
                  <w:rPr>
                    <w:rStyle w:val="7"/>
                    <w:sz w:val="18"/>
                  </w:rPr>
                </w:pPr>
              </w:p>
              <w:p>
                <w:pPr>
                  <w:rPr>
                    <w:rStyle w:val="7"/>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zU4ZDNjYWViZjU0ZGUwM2FlNGNmNjAyOGQ0Yzc1ZTEifQ=="/>
  </w:docVars>
  <w:rsids>
    <w:rsidRoot w:val="00DC6F2A"/>
    <w:rsid w:val="000B0D80"/>
    <w:rsid w:val="00675397"/>
    <w:rsid w:val="006D5FC5"/>
    <w:rsid w:val="00B87F71"/>
    <w:rsid w:val="00D574FC"/>
    <w:rsid w:val="00D66378"/>
    <w:rsid w:val="00DC6F2A"/>
    <w:rsid w:val="00E53043"/>
    <w:rsid w:val="00F50645"/>
    <w:rsid w:val="00F571E8"/>
    <w:rsid w:val="00FE1723"/>
    <w:rsid w:val="01E23011"/>
    <w:rsid w:val="067A5F0E"/>
    <w:rsid w:val="09322AD0"/>
    <w:rsid w:val="0C424348"/>
    <w:rsid w:val="0EF32D02"/>
    <w:rsid w:val="0F0C791F"/>
    <w:rsid w:val="0F4672D5"/>
    <w:rsid w:val="116B3551"/>
    <w:rsid w:val="14611768"/>
    <w:rsid w:val="16D03928"/>
    <w:rsid w:val="1A277D03"/>
    <w:rsid w:val="1F4C5B16"/>
    <w:rsid w:val="23B75C54"/>
    <w:rsid w:val="240703D7"/>
    <w:rsid w:val="272924A0"/>
    <w:rsid w:val="29EB2AFB"/>
    <w:rsid w:val="2A4B01A0"/>
    <w:rsid w:val="2A4C2E6E"/>
    <w:rsid w:val="2D691711"/>
    <w:rsid w:val="38392BBC"/>
    <w:rsid w:val="3B1C3CFE"/>
    <w:rsid w:val="3C0812EB"/>
    <w:rsid w:val="3CE24B9D"/>
    <w:rsid w:val="430D140F"/>
    <w:rsid w:val="43803E5D"/>
    <w:rsid w:val="44B813D4"/>
    <w:rsid w:val="45175FD0"/>
    <w:rsid w:val="49A168DB"/>
    <w:rsid w:val="4CEC4311"/>
    <w:rsid w:val="54246E44"/>
    <w:rsid w:val="55F67FAE"/>
    <w:rsid w:val="5EEC1F4F"/>
    <w:rsid w:val="5FA44680"/>
    <w:rsid w:val="62151D31"/>
    <w:rsid w:val="652647BC"/>
    <w:rsid w:val="660B715E"/>
    <w:rsid w:val="681B213F"/>
    <w:rsid w:val="6A162576"/>
    <w:rsid w:val="6DBF4F45"/>
    <w:rsid w:val="6E6904E5"/>
    <w:rsid w:val="6FD221F0"/>
    <w:rsid w:val="758B02BC"/>
    <w:rsid w:val="765660C6"/>
    <w:rsid w:val="7C0D3A1B"/>
    <w:rsid w:val="7EC1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styleId="6">
    <w:name w:val="Strong"/>
    <w:basedOn w:val="7"/>
    <w:qFormat/>
    <w:uiPriority w:val="0"/>
    <w:rPr>
      <w:b/>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paragraph" w:customStyle="1" w:styleId="9">
    <w:name w:val="PlainText"/>
    <w:basedOn w:val="1"/>
    <w:qFormat/>
    <w:uiPriority w:val="0"/>
    <w:rPr>
      <w:rFonts w:ascii="宋体" w:hAnsi="Courier New"/>
      <w:szCs w:val="21"/>
    </w:rPr>
  </w:style>
  <w:style w:type="paragraph" w:customStyle="1" w:styleId="10">
    <w:name w:val="Acetate"/>
    <w:basedOn w:val="1"/>
    <w:semiHidden/>
    <w:qFormat/>
    <w:uiPriority w:val="0"/>
    <w:rPr>
      <w:sz w:val="18"/>
      <w:szCs w:val="18"/>
    </w:rPr>
  </w:style>
  <w:style w:type="paragraph" w:customStyle="1" w:styleId="11">
    <w:name w:val="HtmlNormal"/>
    <w:basedOn w:val="1"/>
    <w:qFormat/>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469</Words>
  <Characters>493</Characters>
  <Lines>3</Lines>
  <Paragraphs>1</Paragraphs>
  <TotalTime>13</TotalTime>
  <ScaleCrop>false</ScaleCrop>
  <LinksUpToDate>false</LinksUpToDate>
  <CharactersWithSpaces>493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2022-10-09T02:15:00Z</dcterms:created>
  <dc:creator>Administrator</dc:creator>
  <cp:lastModifiedBy>lenovo</cp:lastModifiedBy>
  <cp:lastPrinted>2022-10-12T08:35:00Z</cp:lastPrinted>
  <dcterms:modified xsi:type="dcterms:W3CDTF">2022-10-19T08:08:36Z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0246D27DCB11437C97E4B2FC205F7A8A</vt:lpwstr>
  </property>
</Properties>
</file>