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南充市嘉陵区</w:t>
      </w:r>
      <w:r>
        <w:rPr>
          <w:rStyle w:val="7"/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lang w:val="en-US" w:eastAsia="zh-CN" w:bidi="ar"/>
        </w:rPr>
        <w:t>2022</w:t>
      </w:r>
      <w:r>
        <w:rPr>
          <w:rStyle w:val="8"/>
          <w:rFonts w:hint="default" w:ascii="Times New Roman" w:hAnsi="Times New Roman" w:cs="Times New Roman"/>
          <w:b/>
          <w:bCs/>
          <w:color w:val="auto"/>
          <w:sz w:val="40"/>
          <w:szCs w:val="40"/>
          <w:lang w:val="en-US" w:eastAsia="zh-CN" w:bidi="ar"/>
        </w:rPr>
        <w:t>年下半年公开招聘事业单位工作人员岗位和条件要求一览表</w:t>
      </w:r>
    </w:p>
    <w:tbl>
      <w:tblPr>
        <w:tblStyle w:val="6"/>
        <w:tblW w:w="15585" w:type="dxa"/>
        <w:tblInd w:w="-7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45"/>
        <w:gridCol w:w="780"/>
        <w:gridCol w:w="945"/>
        <w:gridCol w:w="990"/>
        <w:gridCol w:w="645"/>
        <w:gridCol w:w="1185"/>
        <w:gridCol w:w="1350"/>
        <w:gridCol w:w="1200"/>
        <w:gridCol w:w="1989"/>
        <w:gridCol w:w="1386"/>
        <w:gridCol w:w="17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招聘对象及范围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_GBK" w:cs="Times New Roman"/>
                <w:b/>
                <w:bCs/>
                <w:color w:val="auto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研究生：外科学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持有执业医师资格证书，注册范围为外科专业。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本科：康复治疗学、针灸推拿学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研究生：康复医学与理疗学、针灸推拿学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本科：医学影像学、放射医学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本科：临床药学、药物制剂、药学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研究生：药学、药理学、药物化学 、药剂学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510301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本科：工程造价、工程管理、土木工程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研究生：管理科学与工程、项目管理、工程管理、土木工程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持有执业医师资格证书，注册范围为内科专业。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持有招聘岗位相应专业中级及以上卫生专业技术资格证书。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研究生：妇产科学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持有执业医师资格证书，注册范围为妇产科专业。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持有招聘岗位相应专业中级及以上卫生专业技术资格证书。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本科：临床医学、麻醉学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持有执业医师资格证书，注册范围为麻醉专业。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影像诊断医生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面向全国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大学本科及以上学历并取得相应学位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本科：医学影像学、临床医学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持有执业医师资格证书，注册范围为医学影像和放射治疗专业。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西医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临床（一）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520309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本科：临床医学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研究生：儿科学、妇产科学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临床（二）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520310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研究生：儿科学、妇产科学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中医（含中西医结合、康复治疗）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530301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大专：中医学、中医骨伤、针灸推拿、康复治疗技术、中西医结合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本科：中医学、中西医临床医学、针灸推拿学、推拿学、康复治疗学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研究生：中医学、中医内科学、中医外科学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《卫生公共基础(含中医)》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520311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大专：护理、护理学、高级护理、高等护理、助产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本科：护理学、助产学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研究生：护理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持有护士执业资格证书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520312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大专：医学检验技术、卫生检验与检疫技术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本科：医学检验技术、卫生检验与检疫、卫生检验、医学检验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嘉陵区乡（镇）卫生院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520313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1.面向全国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2.详见公告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1986年10月31日及以后出生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大专：药学、中药学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本科：药学、中药学、临床药学、药物制剂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研究生：药学、中药学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exact"/>
        <w:jc w:val="center"/>
        <w:textAlignment w:val="center"/>
        <w:outlineLvl w:val="9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1"/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11"/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w w:val="90"/>
          <w:sz w:val="38"/>
          <w:szCs w:val="38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auto"/>
          <w:w w:val="90"/>
          <w:kern w:val="0"/>
          <w:sz w:val="38"/>
          <w:szCs w:val="38"/>
          <w:u w:val="none"/>
          <w:lang w:val="en-US" w:eastAsia="zh-CN" w:bidi="ar"/>
        </w:rPr>
        <w:t>南充市嘉陵区2022年下半年公开招聘事业单位工作人员面试方式及主要范围一览表</w:t>
      </w:r>
    </w:p>
    <w:tbl>
      <w:tblPr>
        <w:tblStyle w:val="6"/>
        <w:tblW w:w="138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100"/>
        <w:gridCol w:w="1559"/>
        <w:gridCol w:w="2775"/>
        <w:gridCol w:w="2150"/>
        <w:gridCol w:w="1170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面试主要范围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专业技能（操作）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的主要范围为意愿素质（动机愿望、职业责任感、敬业精神、竞争意识、兴趣爱好等）、智能素质（应变能力、语言表达能力、综合分析能力、逻辑思维能力、业务能力、创新能力、组织管理能力、人际协调能力等）、人格素质（举止仪表、性格气质等）和专业知识素质（综合知识、专业知识）等方面。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内科医生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影像诊断医生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西医临床（</w:t>
            </w: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西医临床（</w:t>
            </w: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中医（含中西医结合、康复治疗）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乡（镇）卫生院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5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8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南充市嘉陵区2022年下半年公开招聘事业单位基本情况一览表</w:t>
      </w:r>
    </w:p>
    <w:tbl>
      <w:tblPr>
        <w:tblStyle w:val="6"/>
        <w:tblW w:w="14655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200"/>
        <w:gridCol w:w="1935"/>
        <w:gridCol w:w="1620"/>
        <w:gridCol w:w="7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招聘单位（主管部门）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嘉陵区妇幼保健计划生育服务中心（嘉陵区卫生健康局）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嘉陵区耀目路二段1号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0817-3866039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从事基本医疗、公共卫生、孕产妇保健和儿童保健工作。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4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嘉陵区中医医院（嘉陵区卫生健康局）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嘉陵区先锋大道1</w:t>
            </w:r>
            <w:r>
              <w:rPr>
                <w:rStyle w:val="12"/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 w:bidi="ar"/>
              </w:rPr>
              <w:t>01号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0817-3866039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（一）为人民群众提供中西医医疗、预防、保健、计划生育、康复等医疗卫生服务。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（二）贯彻落实医药卫生体制改革、中西医并重方针和国家中医药法律法规，执行中医药政策；拟定实施中医药、民族医药和中西医结合发展战略、规划。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（三）确保全区人民中西医疗健康需求，建立与地方经济法制相适应的中西医结合医疗环境。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（四）承担意外灾害事故、疫情等突发公共卫生事件的医疗急救及社区预防、保健和康复医疗服务工作。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（五）组织实施中西医药科学研究，推进医学科技成果转化和推广应用。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（六）承担区委政府及区卫健局交办的其他卫生工作。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嘉陵区乡、镇卫生院（嘉陵区卫生健康局）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对应岗位各乡、镇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0817-3866039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（一）公共卫生服务：开展国家基本公共卫生服务十二项工作，提供健康体检、妇幼保健、健康教育服务等工作。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（二）基本医疗服务：开展本辖区及周边地区一般常见病、多发病、地方病和疑难重症的医疗服务；开展母婴保健技术服务。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南充市嘉陵区2022年下半年公开招聘乡、镇卫生院岗位一览表</w:t>
      </w:r>
    </w:p>
    <w:tbl>
      <w:tblPr>
        <w:tblStyle w:val="6"/>
        <w:tblW w:w="140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8"/>
        <w:gridCol w:w="2490"/>
        <w:gridCol w:w="1339"/>
        <w:gridCol w:w="1457"/>
        <w:gridCol w:w="2291"/>
        <w:gridCol w:w="1066"/>
        <w:gridCol w:w="1144"/>
        <w:gridCol w:w="1314"/>
        <w:gridCol w:w="1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-635</wp:posOffset>
                  </wp:positionV>
                  <wp:extent cx="1543050" cy="473075"/>
                  <wp:effectExtent l="0" t="0" r="0" b="3175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7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西医临床(一）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西医临床(二）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中医（含中西医结合、康复治疗）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嘉陵区卫生健康局</w:t>
            </w:r>
          </w:p>
        </w:tc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李渡镇中心卫生院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金凤镇中心卫生院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安平镇中心卫生院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龙蟠镇中心卫生院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吉安镇卫生院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安福镇卫生院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世阳镇卫生院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龙岭镇卫生院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盐溪乡卫生院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大兴乡卫生院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一立镇卫生院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七宝寺镇卫生院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里坝镇卫生院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曲水镇卫生院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双桂镇卫生院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68F54928"/>
    <w:rsid w:val="08DA3EEC"/>
    <w:rsid w:val="2C732BEF"/>
    <w:rsid w:val="2E1E38B2"/>
    <w:rsid w:val="31413DE6"/>
    <w:rsid w:val="33FA08A4"/>
    <w:rsid w:val="36582404"/>
    <w:rsid w:val="36833466"/>
    <w:rsid w:val="410D44FA"/>
    <w:rsid w:val="4F740A93"/>
    <w:rsid w:val="63614136"/>
    <w:rsid w:val="68F54928"/>
    <w:rsid w:val="77E41DAE"/>
    <w:rsid w:val="DE7B8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8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9">
    <w:name w:val="font121"/>
    <w:basedOn w:val="5"/>
    <w:qFormat/>
    <w:uiPriority w:val="0"/>
    <w:rPr>
      <w:rFonts w:hint="eastAsia" w:ascii="方正书宋简体" w:hAnsi="方正书宋简体" w:eastAsia="方正书宋简体" w:cs="方正书宋简体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3048</Words>
  <Characters>3284</Characters>
  <Lines>0</Lines>
  <Paragraphs>0</Paragraphs>
  <TotalTime>1</TotalTime>
  <ScaleCrop>false</ScaleCrop>
  <LinksUpToDate>false</LinksUpToDate>
  <CharactersWithSpaces>3322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2022-10-18T21:40:00Z</dcterms:created>
  <dc:creator>Administrator</dc:creator>
  <cp:lastModifiedBy>Administrator</cp:lastModifiedBy>
  <dcterms:modified xsi:type="dcterms:W3CDTF">2022-10-24T07:56:37Z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951162FAE776A857B22A526324984264</vt:lpwstr>
  </property>
</Properties>
</file>