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日照市北经济开发区管理委员会</w:t>
      </w:r>
    </w:p>
    <w:p>
      <w:pPr>
        <w:spacing w:line="56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2022年公开招聘聘任制职员岗位表</w:t>
      </w:r>
    </w:p>
    <w:tbl>
      <w:tblPr>
        <w:tblStyle w:val="4"/>
        <w:tblpPr w:leftFromText="180" w:rightFromText="180" w:vertAnchor="text" w:horzAnchor="page" w:tblpX="1659" w:tblpY="127"/>
        <w:tblOverlap w:val="never"/>
        <w:tblW w:w="9017" w:type="dxa"/>
        <w:tblInd w:w="0" w:type="dxa"/>
        <w:tblLayout w:type="fixed"/>
        <w:tblCellMar>
          <w:top w:w="15" w:type="dxa"/>
          <w:left w:w="15" w:type="dxa"/>
          <w:bottom w:w="15" w:type="dxa"/>
          <w:right w:w="15" w:type="dxa"/>
        </w:tblCellMar>
      </w:tblPr>
      <w:tblGrid>
        <w:gridCol w:w="1323"/>
        <w:gridCol w:w="1082"/>
        <w:gridCol w:w="687"/>
        <w:gridCol w:w="773"/>
        <w:gridCol w:w="5152"/>
      </w:tblGrid>
      <w:tr>
        <w:tblPrEx>
          <w:tblLayout w:type="fixed"/>
          <w:tblCellMar>
            <w:top w:w="15" w:type="dxa"/>
            <w:left w:w="15" w:type="dxa"/>
            <w:bottom w:w="15" w:type="dxa"/>
            <w:right w:w="15" w:type="dxa"/>
          </w:tblCellMar>
        </w:tblPrEx>
        <w:trPr>
          <w:trHeight w:val="922" w:hRule="atLeast"/>
          <w:tblHeader/>
        </w:trPr>
        <w:tc>
          <w:tcPr>
            <w:tcW w:w="1323"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招聘单位</w:t>
            </w:r>
          </w:p>
        </w:tc>
        <w:tc>
          <w:tcPr>
            <w:tcW w:w="1082" w:type="dxa"/>
            <w:tcBorders>
              <w:top w:val="single" w:color="000000" w:sz="4" w:space="0"/>
              <w:left w:val="nil"/>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岗位</w:t>
            </w:r>
          </w:p>
          <w:p>
            <w:pPr>
              <w:widowControl/>
              <w:spacing w:line="30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类别</w:t>
            </w:r>
          </w:p>
        </w:tc>
        <w:tc>
          <w:tcPr>
            <w:tcW w:w="687" w:type="dxa"/>
            <w:tcBorders>
              <w:top w:val="single" w:color="000000" w:sz="4" w:space="0"/>
              <w:left w:val="nil"/>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招聘</w:t>
            </w:r>
          </w:p>
          <w:p>
            <w:pPr>
              <w:widowControl/>
              <w:spacing w:line="30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计划</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学历</w:t>
            </w:r>
          </w:p>
          <w:p>
            <w:pPr>
              <w:widowControl/>
              <w:spacing w:line="30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要求</w:t>
            </w:r>
          </w:p>
        </w:tc>
        <w:tc>
          <w:tcPr>
            <w:tcW w:w="51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专业及岗位要求</w:t>
            </w:r>
          </w:p>
        </w:tc>
      </w:tr>
      <w:tr>
        <w:tblPrEx>
          <w:tblLayout w:type="fixed"/>
          <w:tblCellMar>
            <w:top w:w="15" w:type="dxa"/>
            <w:left w:w="15" w:type="dxa"/>
            <w:bottom w:w="15" w:type="dxa"/>
            <w:right w:w="15" w:type="dxa"/>
          </w:tblCellMar>
        </w:tblPrEx>
        <w:trPr>
          <w:trHeight w:val="746"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综合办公室</w:t>
            </w:r>
          </w:p>
        </w:tc>
        <w:tc>
          <w:tcPr>
            <w:tcW w:w="108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w:t>
            </w:r>
          </w:p>
        </w:tc>
        <w:tc>
          <w:tcPr>
            <w:tcW w:w="687"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普通高校本科及以上学历</w:t>
            </w:r>
          </w:p>
        </w:tc>
        <w:tc>
          <w:tcPr>
            <w:tcW w:w="515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不限专业，具有一定的综合文稿写作能力。</w:t>
            </w:r>
          </w:p>
        </w:tc>
      </w:tr>
      <w:tr>
        <w:tblPrEx>
          <w:tblLayout w:type="fixed"/>
          <w:tblCellMar>
            <w:top w:w="15" w:type="dxa"/>
            <w:left w:w="15" w:type="dxa"/>
            <w:bottom w:w="15" w:type="dxa"/>
            <w:right w:w="15" w:type="dxa"/>
          </w:tblCellMar>
        </w:tblPrEx>
        <w:trPr>
          <w:trHeight w:val="692"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党群工作部</w:t>
            </w:r>
          </w:p>
        </w:tc>
        <w:tc>
          <w:tcPr>
            <w:tcW w:w="108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综合宣传</w:t>
            </w:r>
          </w:p>
        </w:tc>
        <w:tc>
          <w:tcPr>
            <w:tcW w:w="687"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kern w:val="0"/>
                <w:sz w:val="21"/>
                <w:szCs w:val="21"/>
                <w:lang w:bidi="ar"/>
              </w:rPr>
            </w:pPr>
          </w:p>
        </w:tc>
        <w:tc>
          <w:tcPr>
            <w:tcW w:w="515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环境设计、影视摄影与制作、音乐学。具有2年以上融媒体工作经历者优先聘用。</w:t>
            </w:r>
          </w:p>
        </w:tc>
      </w:tr>
      <w:tr>
        <w:tblPrEx>
          <w:tblLayout w:type="fixed"/>
          <w:tblCellMar>
            <w:top w:w="15" w:type="dxa"/>
            <w:left w:w="15" w:type="dxa"/>
            <w:bottom w:w="15" w:type="dxa"/>
            <w:right w:w="15" w:type="dxa"/>
          </w:tblCellMar>
        </w:tblPrEx>
        <w:trPr>
          <w:trHeight w:val="746" w:hRule="atLeast"/>
        </w:trPr>
        <w:tc>
          <w:tcPr>
            <w:tcW w:w="1323" w:type="dxa"/>
            <w:vMerge w:val="restart"/>
            <w:tcBorders>
              <w:top w:val="single" w:color="auto" w:sz="4" w:space="0"/>
              <w:left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经济发展中心</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综合管理1</w:t>
            </w:r>
          </w:p>
        </w:tc>
        <w:tc>
          <w:tcPr>
            <w:tcW w:w="687"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kern w:val="0"/>
                <w:sz w:val="21"/>
                <w:szCs w:val="21"/>
                <w:lang w:bidi="ar"/>
              </w:rPr>
            </w:pPr>
          </w:p>
        </w:tc>
        <w:tc>
          <w:tcPr>
            <w:tcW w:w="515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经济学类、统计学类。</w:t>
            </w:r>
          </w:p>
        </w:tc>
      </w:tr>
      <w:tr>
        <w:tblPrEx>
          <w:tblLayout w:type="fixed"/>
          <w:tblCellMar>
            <w:top w:w="15" w:type="dxa"/>
            <w:left w:w="15" w:type="dxa"/>
            <w:bottom w:w="15" w:type="dxa"/>
            <w:right w:w="15" w:type="dxa"/>
          </w:tblCellMar>
        </w:tblPrEx>
        <w:trPr>
          <w:trHeight w:val="843" w:hRule="atLeast"/>
        </w:trPr>
        <w:tc>
          <w:tcPr>
            <w:tcW w:w="1323" w:type="dxa"/>
            <w:vMerge w:val="continue"/>
            <w:tcBorders>
              <w:left w:val="single" w:color="000000" w:sz="4" w:space="0"/>
              <w:bottom w:val="nil"/>
              <w:right w:val="single" w:color="000000" w:sz="4" w:space="0"/>
            </w:tcBorders>
            <w:noWrap w:val="0"/>
            <w:vAlign w:val="center"/>
          </w:tcPr>
          <w:p>
            <w:pPr>
              <w:widowControl/>
              <w:spacing w:line="300" w:lineRule="exact"/>
              <w:jc w:val="center"/>
              <w:rPr>
                <w:rFonts w:hint="default" w:ascii="Times New Roman" w:hAnsi="Times New Roman" w:eastAsia="仿宋_GB2312" w:cs="Times New Roman"/>
                <w:sz w:val="21"/>
                <w:szCs w:val="21"/>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综合管理2</w:t>
            </w:r>
          </w:p>
        </w:tc>
        <w:tc>
          <w:tcPr>
            <w:tcW w:w="687"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普通高校研究生学历</w:t>
            </w:r>
          </w:p>
        </w:tc>
        <w:tc>
          <w:tcPr>
            <w:tcW w:w="515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不限专业，年龄</w:t>
            </w:r>
            <w:r>
              <w:rPr>
                <w:rFonts w:hint="default" w:ascii="Times New Roman" w:hAnsi="Times New Roman" w:eastAsia="仿宋_GB2312" w:cs="Times New Roman"/>
                <w:kern w:val="0"/>
                <w:sz w:val="21"/>
                <w:szCs w:val="21"/>
                <w:lang w:bidi="ar"/>
              </w:rPr>
              <w:t>40周岁以下</w:t>
            </w:r>
            <w:r>
              <w:rPr>
                <w:rFonts w:hint="default" w:ascii="Times New Roman" w:hAnsi="Times New Roman" w:eastAsia="仿宋_GB2312" w:cs="Times New Roman"/>
                <w:sz w:val="21"/>
                <w:szCs w:val="21"/>
              </w:rPr>
              <w:t>。</w:t>
            </w:r>
          </w:p>
        </w:tc>
      </w:tr>
      <w:tr>
        <w:tblPrEx>
          <w:tblLayout w:type="fixed"/>
          <w:tblCellMar>
            <w:top w:w="15" w:type="dxa"/>
            <w:left w:w="15" w:type="dxa"/>
            <w:bottom w:w="15" w:type="dxa"/>
            <w:right w:w="15" w:type="dxa"/>
          </w:tblCellMar>
        </w:tblPrEx>
        <w:trPr>
          <w:trHeight w:val="1008"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财经中心</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kern w:val="0"/>
                <w:sz w:val="21"/>
                <w:szCs w:val="21"/>
                <w:lang w:bidi="ar"/>
              </w:rPr>
              <w:t>普通高校本科及以上学历</w:t>
            </w:r>
          </w:p>
        </w:tc>
        <w:tc>
          <w:tcPr>
            <w:tcW w:w="51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rPr>
              <w:t>财政学、金融学、审计学、会计学、税收学。具有良好的业务素养和沟通协调能力。</w:t>
            </w:r>
          </w:p>
        </w:tc>
      </w:tr>
      <w:tr>
        <w:tblPrEx>
          <w:tblLayout w:type="fixed"/>
          <w:tblCellMar>
            <w:top w:w="15" w:type="dxa"/>
            <w:left w:w="15" w:type="dxa"/>
            <w:bottom w:w="15" w:type="dxa"/>
            <w:right w:w="15" w:type="dxa"/>
          </w:tblCellMar>
        </w:tblPrEx>
        <w:trPr>
          <w:trHeight w:val="2491"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建设管理中心</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_GB2312" w:cs="Times New Roman"/>
                <w:kern w:val="0"/>
                <w:sz w:val="21"/>
                <w:szCs w:val="21"/>
                <w:lang w:bidi="ar"/>
              </w:rPr>
            </w:pPr>
          </w:p>
        </w:tc>
        <w:tc>
          <w:tcPr>
            <w:tcW w:w="51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kern w:val="0"/>
                <w:sz w:val="21"/>
                <w:szCs w:val="21"/>
                <w:lang w:bidi="ar"/>
              </w:rPr>
              <w:t>土木工程、给排水科学与工程、道路桥梁与渡河工程、建筑学、城乡规划、风景园林、城市管理、工程管理、房地产开发与管理、工程造价。具有建筑工地、市政工程施工管理、工程招投标、工程预算、园林绿化、竣工验收或规划、建筑、园林设计工作2年以上工作经历者，可不受专业限制。如取得二级以上建造师职业资格者可不受专业限制，学历可放宽至普通高校专科，年龄可放宽至40周岁以下。</w:t>
            </w:r>
          </w:p>
        </w:tc>
      </w:tr>
      <w:tr>
        <w:tblPrEx>
          <w:tblLayout w:type="fixed"/>
          <w:tblCellMar>
            <w:top w:w="15" w:type="dxa"/>
            <w:left w:w="15" w:type="dxa"/>
            <w:bottom w:w="15" w:type="dxa"/>
            <w:right w:w="15" w:type="dxa"/>
          </w:tblCellMar>
        </w:tblPrEx>
        <w:trPr>
          <w:trHeight w:val="1471"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应急管理</w:t>
            </w:r>
          </w:p>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办公室</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_GB2312" w:cs="Times New Roman"/>
                <w:kern w:val="0"/>
                <w:sz w:val="21"/>
                <w:szCs w:val="21"/>
                <w:lang w:bidi="ar"/>
              </w:rPr>
            </w:pPr>
          </w:p>
        </w:tc>
        <w:tc>
          <w:tcPr>
            <w:tcW w:w="51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安全科学与工程类、机械类、自动化类、轻工类、公共卫生与预防医学类</w:t>
            </w:r>
            <w:r>
              <w:rPr>
                <w:rFonts w:hint="default" w:ascii="Times New Roman" w:hAnsi="Times New Roman" w:eastAsia="仿宋_GB2312" w:cs="Times New Roman"/>
                <w:sz w:val="21"/>
                <w:szCs w:val="21"/>
              </w:rPr>
              <w:t>。</w:t>
            </w:r>
            <w:r>
              <w:rPr>
                <w:rFonts w:hint="default" w:ascii="Times New Roman" w:hAnsi="Times New Roman" w:eastAsia="仿宋_GB2312" w:cs="Times New Roman"/>
                <w:kern w:val="0"/>
                <w:sz w:val="21"/>
                <w:szCs w:val="21"/>
                <w:lang w:bidi="ar"/>
              </w:rPr>
              <w:t>取得消防工程师、中级注册安全工程师职业资格或从事安全生产工作者可不受专业限制。需适应长期夜间值班，从事户外应急管理检查工作。</w:t>
            </w:r>
          </w:p>
        </w:tc>
      </w:tr>
      <w:tr>
        <w:tblPrEx>
          <w:tblLayout w:type="fixed"/>
          <w:tblCellMar>
            <w:top w:w="15" w:type="dxa"/>
            <w:left w:w="15" w:type="dxa"/>
            <w:bottom w:w="15" w:type="dxa"/>
            <w:right w:w="15" w:type="dxa"/>
          </w:tblCellMar>
        </w:tblPrEx>
        <w:trPr>
          <w:trHeight w:val="1002" w:hRule="atLeast"/>
        </w:trPr>
        <w:tc>
          <w:tcPr>
            <w:tcW w:w="13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创新创业</w:t>
            </w:r>
          </w:p>
          <w:p>
            <w:pPr>
              <w:widowControl/>
              <w:spacing w:line="300" w:lineRule="exact"/>
              <w:jc w:val="center"/>
              <w:textAlignment w:val="center"/>
              <w:rPr>
                <w:rFonts w:hint="default" w:ascii="Times New Roman" w:hAnsi="Times New Roman" w:eastAsia="仿宋_GB2312" w:cs="Times New Roman"/>
                <w:sz w:val="32"/>
                <w:szCs w:val="20"/>
              </w:rPr>
            </w:pPr>
            <w:r>
              <w:rPr>
                <w:rFonts w:hint="default" w:ascii="Times New Roman" w:hAnsi="Times New Roman" w:eastAsia="仿宋_GB2312" w:cs="Times New Roman"/>
                <w:sz w:val="21"/>
                <w:szCs w:val="21"/>
              </w:rPr>
              <w:t>研究院</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综合管理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773"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300" w:lineRule="exact"/>
              <w:rPr>
                <w:rFonts w:hint="default" w:ascii="Times New Roman" w:hAnsi="Times New Roman" w:eastAsia="仿宋_GB2312" w:cs="Times New Roman"/>
                <w:sz w:val="32"/>
                <w:szCs w:val="20"/>
              </w:rPr>
            </w:pPr>
          </w:p>
        </w:tc>
        <w:tc>
          <w:tcPr>
            <w:tcW w:w="51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法学类、经济学类、工商管理类、金融学类。具有2年以上招商工作经历者优先聘用。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193C"/>
    <w:rsid w:val="2915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2022-10-24T08:31:00Z</dcterms:created>
  <dc:creator>天天一丢丢</dc:creator>
  <cp:lastModifiedBy>天天一丢丢</cp:lastModifiedBy>
  <dcterms:modified xsi:type="dcterms:W3CDTF">2022-10-24T08:31:57Z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