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1078"/>
        <w:gridCol w:w="1419"/>
        <w:gridCol w:w="1639"/>
        <w:gridCol w:w="675"/>
        <w:gridCol w:w="1170"/>
        <w:gridCol w:w="1025"/>
        <w:gridCol w:w="2985"/>
        <w:gridCol w:w="2087"/>
        <w:gridCol w:w="13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39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6"/>
                <w:szCs w:val="36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6"/>
                <w:szCs w:val="36"/>
                <w:lang w:val="en-US" w:eastAsia="zh-CN"/>
              </w:rPr>
              <w:t>2022年</w:t>
            </w:r>
            <w:r>
              <w:rPr>
                <w:rFonts w:hint="eastAsia" w:ascii="宋体" w:hAnsi="宋体" w:eastAsia="宋体" w:cs="宋体"/>
                <w:b/>
                <w:color w:val="000000"/>
                <w:sz w:val="36"/>
                <w:szCs w:val="36"/>
              </w:rPr>
              <w:t>辽宁工程职业学院公开招聘世赛工业控制项目教练员</w:t>
            </w:r>
            <w:r>
              <w:rPr>
                <w:rFonts w:hint="eastAsia" w:ascii="宋体" w:hAnsi="宋体" w:eastAsia="宋体" w:cs="宋体"/>
                <w:b/>
                <w:color w:val="000000"/>
                <w:sz w:val="36"/>
                <w:szCs w:val="36"/>
                <w:lang w:eastAsia="zh-CN"/>
              </w:rPr>
              <w:t>岗位</w:t>
            </w:r>
            <w:r>
              <w:rPr>
                <w:rFonts w:hint="eastAsia" w:ascii="宋体" w:hAnsi="宋体" w:eastAsia="宋体" w:cs="宋体"/>
                <w:b/>
                <w:color w:val="000000"/>
                <w:sz w:val="36"/>
                <w:szCs w:val="36"/>
              </w:rPr>
              <w:t>计划信息表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序号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招聘单位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招聘岗位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岗位简介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招聘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>计划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学历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学位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专  业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其他条件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62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辽宁工程职业学院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世赛教练员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从事培训培养世赛选手工作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专科及以上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专科：电气自动化技术、机电一体化、机电技术应用                   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本科：电气工程及其自动化、自动化、电气工程与自动化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研究生：控制理论与控制工程，检测技术与自动化装置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获得世赛奖牌及省级以上“技术能手”称号或取得世赛项目国家队选拔赛前5名或省级一类技能竞赛第一名的高级技能人才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76C84"/>
    <w:rsid w:val="4E5C5FED"/>
    <w:rsid w:val="5B37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2022-11-02T06:35:00Z</dcterms:created>
  <dc:creator>Administrator</dc:creator>
  <cp:lastModifiedBy>Administrator</cp:lastModifiedBy>
  <dcterms:modified xsi:type="dcterms:W3CDTF">2022-11-02T06:36:39Z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