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 w:val="0"/>
        <w:spacing w:line="4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</w:p>
    <w:p>
      <w:pPr>
        <w:framePr w:wrap="auto" w:vAnchor="margin" w:hAnchor="text" w:yAlign="inline"/>
        <w:widowControl w:val="0"/>
        <w:spacing w:line="400" w:lineRule="exact"/>
        <w:jc w:val="left"/>
        <w:rPr>
          <w:rFonts w:hint="eastAsia" w:ascii="黑体" w:hAnsi="Calibri" w:eastAsia="黑体"/>
          <w:kern w:val="2"/>
          <w:sz w:val="36"/>
          <w:szCs w:val="36"/>
          <w:lang w:eastAsia="zh-CN"/>
        </w:rPr>
      </w:pPr>
    </w:p>
    <w:p>
      <w:pPr>
        <w:framePr w:wrap="auto" w:vAnchor="margin" w:hAnchor="text" w:yAlign="inline"/>
        <w:widowControl w:val="0"/>
        <w:spacing w:line="400" w:lineRule="exact"/>
        <w:jc w:val="center"/>
        <w:rPr>
          <w:rFonts w:ascii="黑体" w:hAnsi="Calibri" w:eastAsia="黑体"/>
          <w:kern w:val="2"/>
          <w:sz w:val="36"/>
          <w:szCs w:val="36"/>
          <w:lang w:eastAsia="zh-CN"/>
        </w:rPr>
      </w:pPr>
      <w:r>
        <w:rPr>
          <w:rFonts w:hint="eastAsia" w:ascii="黑体" w:hAnsi="Calibri" w:eastAsia="黑体"/>
          <w:kern w:val="2"/>
          <w:sz w:val="36"/>
          <w:szCs w:val="36"/>
          <w:lang w:eastAsia="zh-CN"/>
        </w:rPr>
        <w:t>防城港市北部湾办公室</w:t>
      </w:r>
      <w:r>
        <w:rPr>
          <w:rFonts w:hint="eastAsia" w:ascii="黑体" w:hAnsi="Calibri" w:eastAsia="黑体"/>
          <w:kern w:val="2"/>
          <w:sz w:val="36"/>
          <w:szCs w:val="36"/>
          <w:lang w:val="en-US" w:eastAsia="zh-CN"/>
        </w:rPr>
        <w:t>2022</w:t>
      </w:r>
      <w:r>
        <w:rPr>
          <w:rFonts w:hint="eastAsia" w:ascii="黑体" w:hAnsi="Calibri" w:eastAsia="黑体"/>
          <w:kern w:val="2"/>
          <w:sz w:val="36"/>
          <w:szCs w:val="36"/>
          <w:lang w:eastAsia="zh-CN"/>
        </w:rPr>
        <w:t>年公开招聘聘用制工作人员计划表</w:t>
      </w:r>
    </w:p>
    <w:p>
      <w:pPr>
        <w:framePr w:wrap="auto" w:vAnchor="margin" w:hAnchor="text" w:yAlign="inline"/>
        <w:widowControl w:val="0"/>
        <w:spacing w:afterLines="100" w:line="400" w:lineRule="exact"/>
        <w:jc w:val="center"/>
        <w:rPr>
          <w:rFonts w:ascii="仿宋_GB2312" w:hAnsi="Calibri" w:eastAsia="仿宋_GB2312"/>
          <w:kern w:val="2"/>
          <w:sz w:val="30"/>
          <w:szCs w:val="30"/>
          <w:lang w:eastAsia="zh-CN"/>
        </w:rPr>
      </w:pPr>
      <w:r>
        <w:rPr>
          <w:rFonts w:hint="eastAsia" w:ascii="仿宋_GB2312" w:hAnsi="Calibri" w:eastAsia="仿宋_GB2312"/>
          <w:kern w:val="2"/>
          <w:sz w:val="30"/>
          <w:szCs w:val="30"/>
          <w:lang w:eastAsia="zh-CN"/>
        </w:rPr>
        <w:t>时间：202</w:t>
      </w:r>
      <w:r>
        <w:rPr>
          <w:rFonts w:hint="eastAsia" w:ascii="仿宋_GB2312" w:hAnsi="Calibri" w:eastAsia="仿宋_GB2312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hAnsi="Calibri" w:eastAsia="仿宋_GB2312"/>
          <w:kern w:val="2"/>
          <w:sz w:val="30"/>
          <w:szCs w:val="30"/>
          <w:lang w:eastAsia="zh-CN"/>
        </w:rPr>
        <w:t>年1</w:t>
      </w:r>
      <w:r>
        <w:rPr>
          <w:rFonts w:hint="eastAsia" w:ascii="仿宋_GB2312" w:hAnsi="Calibri" w:eastAsia="仿宋_GB2312"/>
          <w:kern w:val="2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/>
          <w:kern w:val="2"/>
          <w:sz w:val="30"/>
          <w:szCs w:val="30"/>
          <w:lang w:eastAsia="zh-CN"/>
        </w:rPr>
        <w:t>月</w:t>
      </w:r>
      <w:r>
        <w:rPr>
          <w:rFonts w:hint="default" w:ascii="仿宋_GB2312" w:hAnsi="Calibri" w:eastAsia="仿宋_GB2312"/>
          <w:kern w:val="2"/>
          <w:sz w:val="30"/>
          <w:szCs w:val="30"/>
          <w:lang w:val="en" w:eastAsia="zh-CN"/>
        </w:rPr>
        <w:t>2</w:t>
      </w:r>
      <w:r>
        <w:rPr>
          <w:rFonts w:hint="eastAsia" w:ascii="仿宋_GB2312" w:hAnsi="Calibri" w:eastAsia="仿宋_GB2312"/>
          <w:kern w:val="2"/>
          <w:sz w:val="30"/>
          <w:szCs w:val="30"/>
          <w:lang w:val="en-US" w:eastAsia="zh-CN"/>
        </w:rPr>
        <w:t>8</w:t>
      </w:r>
      <w:r>
        <w:rPr>
          <w:rFonts w:hint="eastAsia" w:ascii="仿宋_GB2312" w:hAnsi="Calibri" w:eastAsia="仿宋_GB2312"/>
          <w:kern w:val="2"/>
          <w:sz w:val="30"/>
          <w:szCs w:val="30"/>
          <w:lang w:eastAsia="zh-CN"/>
        </w:rPr>
        <w:t>日</w:t>
      </w:r>
    </w:p>
    <w:tbl>
      <w:tblPr>
        <w:tblStyle w:val="4"/>
        <w:tblW w:w="13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1146"/>
        <w:gridCol w:w="1020"/>
        <w:gridCol w:w="1305"/>
        <w:gridCol w:w="2089"/>
        <w:gridCol w:w="3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招聘单位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招聘岗位</w:t>
            </w:r>
          </w:p>
        </w:tc>
        <w:tc>
          <w:tcPr>
            <w:tcW w:w="4857" w:type="dxa"/>
            <w:gridSpan w:val="5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报考资格条件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岗位职责</w:t>
            </w:r>
          </w:p>
        </w:tc>
        <w:tc>
          <w:tcPr>
            <w:tcW w:w="3270" w:type="dxa"/>
            <w:vMerge w:val="restart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招考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人数</w:t>
            </w:r>
          </w:p>
        </w:tc>
        <w:tc>
          <w:tcPr>
            <w:tcW w:w="1146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专业</w:t>
            </w:r>
          </w:p>
        </w:tc>
        <w:tc>
          <w:tcPr>
            <w:tcW w:w="1020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学历</w:t>
            </w:r>
          </w:p>
        </w:tc>
        <w:tc>
          <w:tcPr>
            <w:tcW w:w="1305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黑体" w:hAnsi="Calibri" w:eastAsia="黑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Calibri" w:eastAsia="黑体"/>
                <w:kern w:val="2"/>
                <w:sz w:val="21"/>
                <w:szCs w:val="22"/>
                <w:lang w:eastAsia="zh-CN"/>
              </w:rPr>
              <w:t>年龄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3270" w:type="dxa"/>
            <w:vMerge w:val="continue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63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防城海关</w:t>
            </w:r>
          </w:p>
        </w:tc>
        <w:tc>
          <w:tcPr>
            <w:tcW w:w="105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海关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725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020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大学本科及以上学历</w:t>
            </w:r>
          </w:p>
        </w:tc>
        <w:tc>
          <w:tcPr>
            <w:tcW w:w="1305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18-35周岁（含35岁）</w:t>
            </w:r>
          </w:p>
        </w:tc>
        <w:tc>
          <w:tcPr>
            <w:tcW w:w="2089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1.协助海关做好单证记录整理、证稿拟制等文案编制工作；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2.协助海关做好数据收集、统计汇总等工作；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3.完成海关交办的其他工作。</w:t>
            </w:r>
          </w:p>
        </w:tc>
        <w:tc>
          <w:tcPr>
            <w:tcW w:w="3270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1.熟练掌握Office等办公自动化软件；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2.有一定的文字功底，熟悉公文写作；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3.熟悉外贸物流操作流程，熟悉外贸货物清关流程者优先；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4.有较强的人际沟通与协调能力，以及较强的责任心和服务意识。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3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防城海关</w:t>
            </w:r>
          </w:p>
        </w:tc>
        <w:tc>
          <w:tcPr>
            <w:tcW w:w="105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海关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725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物流类、矿石检测化验类相关专业</w:t>
            </w:r>
          </w:p>
        </w:tc>
        <w:tc>
          <w:tcPr>
            <w:tcW w:w="1020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大学专科</w:t>
            </w:r>
          </w:p>
        </w:tc>
        <w:tc>
          <w:tcPr>
            <w:tcW w:w="1305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18-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5周岁（含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5岁）</w:t>
            </w:r>
          </w:p>
        </w:tc>
        <w:tc>
          <w:tcPr>
            <w:tcW w:w="2089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1.协助海关做好保税货物的取样监管工作；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2.协助海关做好制样监管、水分检测、视频巡查等工作；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3.完成海关交办的其他工作。</w:t>
            </w:r>
          </w:p>
        </w:tc>
        <w:tc>
          <w:tcPr>
            <w:tcW w:w="3270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1.有矿类产品抽样化验相关经验者优先；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2.熟悉外贸物流操作流程，熟悉外贸货物清关流程者优先；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3.能吃苦耐劳，能承受一定的工作强度，接受工作需要进行加班；</w:t>
            </w:r>
          </w:p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4.有较强的人际沟通与协调能力，以及较强的责任心和服务意识。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661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70" w:type="dxa"/>
            <w:vAlign w:val="center"/>
          </w:tcPr>
          <w:p>
            <w:pPr>
              <w:framePr w:wrap="auto" w:vAnchor="margin" w:hAnchor="text" w:yAlign="inline"/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framePr w:wrap="auto" w:vAnchor="margin" w:hAnchor="text" w:yAlign="inline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21DF43C1"/>
    <w:rsid w:val="21DF43C1"/>
    <w:rsid w:val="40D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7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491</Characters>
  <Lines>0</Lines>
  <Paragraphs>0</Paragraphs>
  <TotalTime>0</TotalTime>
  <ScaleCrop>false</ScaleCrop>
  <LinksUpToDate>false</LinksUpToDate>
  <CharactersWithSpaces>491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2022-11-28T08:35:00Z</dcterms:created>
  <dc:creator>防城港人才网</dc:creator>
  <cp:lastModifiedBy>防城港人才网</cp:lastModifiedBy>
  <dcterms:modified xsi:type="dcterms:W3CDTF">2022-11-28T09:06:11Z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7287BC3B80734F0B833421330AE78CE6</vt:lpwstr>
  </property>
</Properties>
</file>