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仿宋_GB2312" w:cs="Arial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Arial" w:hAnsi="Arial" w:eastAsia="仿宋_GB2312" w:cs="Arial"/>
          <w:color w:val="000000"/>
          <w:spacing w:val="8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spacing w:line="420" w:lineRule="atLeast"/>
        <w:ind w:firstLine="640"/>
        <w:jc w:val="left"/>
        <w:rPr>
          <w:rFonts w:ascii="仿宋_GB2312" w:hAnsi="Arial" w:eastAsia="仿宋_GB2312" w:cs="Arial"/>
          <w:b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_GB2312" w:hAnsi="Arial" w:eastAsia="仿宋_GB2312" w:cs="Arial"/>
          <w:b/>
          <w:bCs/>
          <w:color w:val="000000"/>
          <w:spacing w:val="8"/>
          <w:kern w:val="0"/>
          <w:sz w:val="32"/>
          <w:szCs w:val="32"/>
          <w:shd w:val="clear" w:color="auto" w:fill="FFFFFF"/>
        </w:rPr>
        <w:t>2022</w:t>
      </w:r>
      <w:r>
        <w:rPr>
          <w:rFonts w:hint="eastAsia" w:ascii="仿宋_GB2312" w:hAnsi="Arial" w:eastAsia="仿宋_GB2312" w:cs="Arial"/>
          <w:b/>
          <w:bCs/>
          <w:color w:val="000000"/>
          <w:spacing w:val="8"/>
          <w:kern w:val="0"/>
          <w:sz w:val="32"/>
          <w:szCs w:val="32"/>
          <w:shd w:val="clear" w:color="auto" w:fill="FFFFFF"/>
        </w:rPr>
        <w:t>年单县妇幼保健计划生育服务中心公开招聘</w:t>
      </w:r>
    </w:p>
    <w:p>
      <w:pPr>
        <w:widowControl/>
        <w:shd w:val="clear" w:color="auto" w:fill="FFFFFF"/>
        <w:spacing w:line="420" w:lineRule="atLeast"/>
        <w:ind w:firstLine="1349" w:firstLineChars="400"/>
        <w:jc w:val="left"/>
        <w:rPr>
          <w:rFonts w:ascii="仿宋_GB2312" w:hAnsi="Arial" w:eastAsia="仿宋_GB2312" w:cs="Arial"/>
          <w:b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b/>
          <w:bCs/>
          <w:color w:val="000000"/>
          <w:spacing w:val="8"/>
          <w:kern w:val="0"/>
          <w:sz w:val="32"/>
          <w:szCs w:val="32"/>
          <w:shd w:val="clear" w:color="auto" w:fill="FFFFFF"/>
        </w:rPr>
        <w:t>急需紧缺专业技术人才第二批一览表</w:t>
      </w:r>
    </w:p>
    <w:p>
      <w:pPr>
        <w:widowControl/>
        <w:shd w:val="clear" w:color="auto" w:fill="FFFFFF"/>
        <w:spacing w:line="384" w:lineRule="atLeast"/>
        <w:rPr>
          <w:rFonts w:ascii="Arial" w:hAnsi="Arial" w:cs="Arial"/>
          <w:color w:val="333333"/>
          <w:spacing w:val="8"/>
          <w:kern w:val="0"/>
          <w:sz w:val="24"/>
        </w:rPr>
      </w:pPr>
    </w:p>
    <w:tbl>
      <w:tblPr>
        <w:tblStyle w:val="3"/>
        <w:tblW w:w="9270" w:type="dxa"/>
        <w:tblInd w:w="-174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351"/>
        <w:gridCol w:w="2170"/>
        <w:gridCol w:w="1276"/>
        <w:gridCol w:w="851"/>
        <w:gridCol w:w="298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  <w:t>序号</w:t>
            </w:r>
          </w:p>
        </w:tc>
        <w:tc>
          <w:tcPr>
            <w:tcW w:w="13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  <w:t>岗位</w:t>
            </w:r>
          </w:p>
        </w:tc>
        <w:tc>
          <w:tcPr>
            <w:tcW w:w="2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  <w:t>专业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  <w:t>学历要求</w:t>
            </w: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  <w:t>用人计划</w:t>
            </w:r>
          </w:p>
        </w:tc>
        <w:tc>
          <w:tcPr>
            <w:tcW w:w="2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2"/>
                <w:sz w:val="30"/>
                <w:szCs w:val="30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 xml:space="preserve"> 妇产科</w:t>
            </w:r>
          </w:p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 xml:space="preserve"> 儿  科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全日制本科及以上学历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6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内科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全日制本科及以上学历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6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皮肤科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全日制本科及以上学历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具备3年以上工作经验并取得相关专业执业证书的，学历可放宽至大专，年龄3</w:t>
            </w:r>
            <w:r>
              <w:rPr>
                <w:rFonts w:ascii="仿宋_GB2312" w:hAnsi="仿宋" w:eastAsia="仿宋_GB2312" w:cs="Times New Roman"/>
                <w:kern w:val="2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</w:rPr>
              <w:t>周岁以下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儿保科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眼视光医学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全日制本科及以上学历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5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社会工作部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市场营销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全日制本科及以上学历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6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行政管理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行政管理、汉语言文学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全日制本科及以上学历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6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7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财务科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财务管理、会计学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全日制本科及以上学历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6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8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中医科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ind w:firstLine="480" w:firstLineChars="200"/>
              <w:jc w:val="both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中医学、</w:t>
            </w:r>
          </w:p>
          <w:p>
            <w:pPr>
              <w:pStyle w:val="2"/>
              <w:wordWrap w:val="0"/>
              <w:spacing w:before="0" w:beforeAutospacing="0" w:after="0" w:afterAutospacing="0"/>
              <w:ind w:firstLine="240" w:firstLineChars="100"/>
              <w:jc w:val="both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针灸推拿学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全日制本科及以上学历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textAlignment w:val="center"/>
              <w:rPr>
                <w:rFonts w:ascii="仿宋_GB2312" w:hAnsi="仿宋" w:eastAsia="仿宋_GB2312" w:cs="Times New Roman"/>
                <w:kern w:val="2"/>
              </w:rPr>
            </w:pPr>
            <w:r>
              <w:rPr>
                <w:rFonts w:hint="eastAsia" w:ascii="仿宋_GB2312" w:hAnsi="仿宋" w:eastAsia="仿宋_GB2312" w:cs="Times New Roman"/>
                <w:kern w:val="2"/>
              </w:rPr>
              <w:t>具备3年以上工作经验并取得相关专业执业证书的，学历可放宽至大专，年龄3</w:t>
            </w:r>
            <w:r>
              <w:rPr>
                <w:rFonts w:ascii="仿宋_GB2312" w:hAnsi="仿宋" w:eastAsia="仿宋_GB2312" w:cs="Times New Roman"/>
                <w:kern w:val="2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</w:rPr>
              <w:t>周岁以下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zJlNWE1YTNlNmM1ODA3MjY4NWY1N2U2NWZiODAifQ=="/>
  </w:docVars>
  <w:rsids>
    <w:rsidRoot w:val="00000000"/>
    <w:rsid w:val="273B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2022-12-07T06:54:20Z</dcterms:created>
  <dc:creator>Lenovo</dc:creator>
  <cp:lastModifiedBy>LZ</cp:lastModifiedBy>
  <dcterms:modified xsi:type="dcterms:W3CDTF">2022-12-07T06:57:09Z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7A80554A60014F1CB34ADC44150C2190</vt:lpwstr>
  </property>
</Properties>
</file>