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90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946"/>
        <w:gridCol w:w="1113"/>
        <w:gridCol w:w="825"/>
        <w:gridCol w:w="1072"/>
        <w:gridCol w:w="4995"/>
        <w:gridCol w:w="908"/>
        <w:gridCol w:w="765"/>
        <w:gridCol w:w="1170"/>
        <w:gridCol w:w="15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5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附件1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90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eastAsia" w:ascii="方正小标宋简体" w:hAnsi="宋体" w:eastAsia="方正小标宋简体" w:cs="宋体"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简体" w:eastAsia="方正小标宋简体"/>
                <w:sz w:val="36"/>
                <w:szCs w:val="36"/>
              </w:rPr>
              <w:t>2022年邵阳市退役军人事务局所属事业单位公开招聘人员岗位表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主管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招聘单位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招聘岗位</w:t>
            </w:r>
          </w:p>
        </w:tc>
        <w:tc>
          <w:tcPr>
            <w:tcW w:w="10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招聘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计划</w:t>
            </w:r>
          </w:p>
        </w:tc>
        <w:tc>
          <w:tcPr>
            <w:tcW w:w="4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岗位所需条件</w:t>
            </w:r>
          </w:p>
        </w:tc>
        <w:tc>
          <w:tcPr>
            <w:tcW w:w="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笔试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内容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面试方式</w:t>
            </w:r>
          </w:p>
        </w:tc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报名及考试咨询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邵阳市退役军人事务局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邵阳市双拥共建事务中心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综合管理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1.驻邵部队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现役军人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随军家属；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距国家现行政策规定退休年龄前，社会养老保险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（不含城乡居民养老保险）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缴费年限可满15年的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；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3.大专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及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以上学历，专业不限。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公共基础知识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结构化面试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黄永益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0739-5300027</w:t>
            </w:r>
          </w:p>
        </w:tc>
      </w:tr>
    </w:tbl>
    <w:p>
      <w:pPr>
        <w:pStyle w:val="3"/>
        <w:shd w:val="clear" w:color="auto" w:fill="FFFFFF"/>
        <w:spacing w:before="0" w:beforeAutospacing="0" w:after="0" w:afterAutospacing="0" w:line="560" w:lineRule="exact"/>
        <w:jc w:val="both"/>
        <w:rPr>
          <w:rFonts w:ascii="仿宋" w:hAnsi="仿宋" w:eastAsia="仿宋" w:cs="仿宋_GB2312"/>
          <w:color w:val="000000"/>
          <w:sz w:val="30"/>
          <w:szCs w:val="30"/>
          <w:shd w:val="clear" w:color="auto" w:fill="FFFFFF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6073BB"/>
    <w:rsid w:val="2E60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2022-04-07T09:53:00Z</dcterms:created>
  <dc:creator>Administrator</dc:creator>
  <cp:lastModifiedBy>Administrator</cp:lastModifiedBy>
  <dcterms:modified xsi:type="dcterms:W3CDTF">2022-04-07T09:55:04Z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