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hint="eastAsia" w:ascii="Times New Roman" w:hAnsi="楷体" w:eastAsia="楷体" w:cs="Times New Roman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spacing w:line="480" w:lineRule="exact"/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林业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局所属事业单位公开招聘工作人员岗位表</w:t>
      </w:r>
      <w:bookmarkEnd w:id="0"/>
    </w:p>
    <w:tbl>
      <w:tblPr>
        <w:tblStyle w:val="3"/>
        <w:tblpPr w:leftFromText="180" w:rightFromText="180" w:vertAnchor="text" w:horzAnchor="page" w:tblpX="1053" w:tblpY="212"/>
        <w:tblOverlap w:val="never"/>
        <w:tblW w:w="15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94"/>
        <w:gridCol w:w="1200"/>
        <w:gridCol w:w="1209"/>
        <w:gridCol w:w="838"/>
        <w:gridCol w:w="994"/>
        <w:gridCol w:w="930"/>
        <w:gridCol w:w="736"/>
        <w:gridCol w:w="1580"/>
        <w:gridCol w:w="1544"/>
        <w:gridCol w:w="1320"/>
        <w:gridCol w:w="108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5784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13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笔试科目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林业</w:t>
            </w: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局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长沙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生态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动物园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差额拨款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野生动物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管护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3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周岁以下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1.2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年及以上野生动物饲养、管护及相关工作经历；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2.硕士研究生及以上学历可放宽至40周岁。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公共基础知识、岗位专业知识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0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差额拨款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园林绿化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30周岁以下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园林、植物保护、森林保护、森林保护学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硕士研究生及以上学历可放宽至35周岁。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公共基础知识、岗位专业知识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/</w:t>
            </w: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20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差额拨款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档案管理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3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周岁以下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新闻学、图书馆学、档案学、传播学、秘书学、汉语言文学、汉语言文字学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硕士研究生及以上学历可放宽至35周岁。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公共基础知识、申论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pPr>
        <w:spacing w:line="480" w:lineRule="exact"/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林业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局所属事业单位公开招聘工作人员岗位表</w:t>
      </w:r>
    </w:p>
    <w:tbl>
      <w:tblPr>
        <w:tblStyle w:val="3"/>
        <w:tblpPr w:leftFromText="180" w:rightFromText="180" w:vertAnchor="text" w:horzAnchor="page" w:tblpX="1053" w:tblpY="212"/>
        <w:tblOverlap w:val="never"/>
        <w:tblW w:w="15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94"/>
        <w:gridCol w:w="1200"/>
        <w:gridCol w:w="1209"/>
        <w:gridCol w:w="838"/>
        <w:gridCol w:w="964"/>
        <w:gridCol w:w="715"/>
        <w:gridCol w:w="15"/>
        <w:gridCol w:w="850"/>
        <w:gridCol w:w="1580"/>
        <w:gridCol w:w="1620"/>
        <w:gridCol w:w="1340"/>
        <w:gridCol w:w="1040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574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13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笔试科目</w:t>
            </w:r>
          </w:p>
        </w:tc>
        <w:tc>
          <w:tcPr>
            <w:tcW w:w="10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林业</w:t>
            </w: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局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</w:rPr>
              <w:t>长沙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生态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</w:rPr>
              <w:t>动物园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差额拨款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营销策划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30周岁以下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本科及以上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市场营销、企业管理（市场营销）、旅游管理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1.2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年及以上市场营销或旅游管理工作经历；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2.硕士研究生及以上学历可放宽至35周岁。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公共基础知识、申论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20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差额拨款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信息技术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30周岁以下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本科及以上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计算机科学与技术、计算机应用技术、电子信息科学与技术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硕士研究生及以上学历可放宽至35周岁。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公共基础知识、申论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20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差额拨款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安全保卫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3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周岁以下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治安学、治安管理、公共安全管理、公安管理学、消防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指挥、国内安全保卫、公安学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val="en-US" w:eastAsia="zh-CN"/>
              </w:rPr>
              <w:t>硕士研究生及以上学历可放宽至35周岁。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公共基础知识、申论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结构化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lang w:eastAsia="zh-CN"/>
              </w:rPr>
              <w:t>高校毕业生岗位</w:t>
            </w:r>
          </w:p>
        </w:tc>
      </w:tr>
    </w:tbl>
    <w:p/>
    <w:sectPr>
      <w:footerReference r:id="rId3" w:type="default"/>
      <w:pgSz w:w="16838" w:h="11906" w:orient="landscape"/>
      <w:pgMar w:top="1576" w:right="1213" w:bottom="157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7" w:lineRule="auto"/>
      <w:ind w:right="84"/>
      <w:jc w:val="right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9"/>
        <w:sz w:val="17"/>
        <w:szCs w:val="17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ZjYwMDZlNGY3ZTkxZWVlZTk2NzQ2YzU5ZmFmYTEifQ=="/>
  </w:docVars>
  <w:rsids>
    <w:rsidRoot w:val="240527F7"/>
    <w:rsid w:val="2405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2022-12-26T03:23:00Z</dcterms:created>
  <dc:creator>何艳</dc:creator>
  <cp:lastModifiedBy>何艳</cp:lastModifiedBy>
  <dcterms:modified xsi:type="dcterms:W3CDTF">2022-12-26T03:24:25Z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68405DF69B80458C9825B29DBE00EE0D</vt:lpwstr>
  </property>
</Properties>
</file>