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47" w:tblpY="801"/>
        <w:tblOverlap w:val="never"/>
        <w:tblW w:w="14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337"/>
        <w:gridCol w:w="1737"/>
        <w:gridCol w:w="750"/>
        <w:gridCol w:w="838"/>
        <w:gridCol w:w="775"/>
        <w:gridCol w:w="712"/>
        <w:gridCol w:w="938"/>
        <w:gridCol w:w="937"/>
        <w:gridCol w:w="963"/>
        <w:gridCol w:w="1387"/>
        <w:gridCol w:w="1400"/>
        <w:gridCol w:w="1063"/>
        <w:gridCol w:w="80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1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2022年钦南区乡镇事业单位定向招聘“三支一扶”高校毕业生岗位条件表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73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688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6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服务年限</w:t>
            </w: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黄屋屯镇人民政府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黄屋屯镇乡村建设综合服务中心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通过考试选拔方式参加基层服务项目，在钦南区乡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镇事业单位服务期满且考核合格后3年内，服务期间通过借调、帮助工作等方式离开原基层服务单位工作的时间累计不超过3个月。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承诺在本单位最低工作年限为3年（含试用期）。在最低服务期限内，其他单位不得以借调、帮助工作等方式借出或调走。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东场镇人民政府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东场镇社会保障服务中心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那丽镇人民政府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那丽镇社会保障服务心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那丽镇文化广电体育和旅游站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犀牛脚镇人民政府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犀牛脚镇社会保障服务中心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康熙岭镇人民政府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康熙岭镇社会保障服务中心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久隆镇人民政府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久隆镇社会保障服务中心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大番坡镇人民政府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大番坡镇乡村建设综合服务中心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拨款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zgwZjMwNzZlNTA5ZDhkZDI5NGYwMDU5OWU5MmMifQ=="/>
  </w:docVars>
  <w:rsids>
    <w:rsidRoot w:val="00000000"/>
    <w:rsid w:val="01CF24B1"/>
    <w:rsid w:val="1A79174D"/>
    <w:rsid w:val="492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652</Characters>
  <Lines>0</Lines>
  <Paragraphs>0</Paragraphs>
  <TotalTime>1</TotalTime>
  <ScaleCrop>false</ScaleCrop>
  <LinksUpToDate>false</LinksUpToDate>
  <CharactersWithSpaces>652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2022-12-23T01:30:00Z</dcterms:created>
  <dc:creator>Administrator</dc:creator>
  <cp:lastModifiedBy>Amour.</cp:lastModifiedBy>
  <cp:lastPrinted>2022-12-26T01:57:17Z</cp:lastPrinted>
  <dcterms:modified xsi:type="dcterms:W3CDTF">2022-12-26T02:01:19Z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31FDE82EF3AE419AA70399479A37F6D9</vt:lpwstr>
  </property>
</Properties>
</file>