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765" w:rsidRPr="00C73C6D" w:rsidRDefault="00C73C6D">
      <w:pPr>
        <w:rPr>
          <w:rFonts w:ascii="黑体" w:eastAsia="黑体" w:hAnsi="黑体"/>
          <w:sz w:val="28"/>
          <w:szCs w:val="28"/>
        </w:rPr>
      </w:pPr>
      <w:r w:rsidRPr="00C73C6D">
        <w:rPr>
          <w:rFonts w:ascii="黑体" w:eastAsia="黑体" w:hAnsi="黑体" w:hint="eastAsia"/>
          <w:sz w:val="28"/>
          <w:szCs w:val="28"/>
        </w:rPr>
        <w:t>附件3</w:t>
      </w:r>
    </w:p>
    <w:p w:rsidR="00C73C6D" w:rsidRDefault="00C73C6D">
      <w:pPr>
        <w:jc w:val="center"/>
        <w:rPr>
          <w:rFonts w:ascii="方正小标宋简体" w:eastAsia="方正小标宋简体"/>
          <w:sz w:val="44"/>
          <w:szCs w:val="44"/>
        </w:rPr>
      </w:pPr>
    </w:p>
    <w:p w:rsidR="004F1765" w:rsidRDefault="003471C1">
      <w:pPr>
        <w:jc w:val="center"/>
        <w:rPr>
          <w:rFonts w:ascii="方正小标宋简体" w:eastAsia="方正小标宋简体"/>
          <w:sz w:val="44"/>
          <w:szCs w:val="44"/>
        </w:rPr>
      </w:pPr>
      <w:r>
        <w:rPr>
          <w:rFonts w:ascii="方正小标宋简体" w:eastAsia="方正小标宋简体" w:hint="eastAsia"/>
          <w:sz w:val="44"/>
          <w:szCs w:val="44"/>
        </w:rPr>
        <w:t>中共三明市委人才工作领导小组关于印发《三明市实施新时代人才强市战略推进“2+3+N”人才专项行动方案》的通知</w:t>
      </w:r>
    </w:p>
    <w:p w:rsidR="004F1765" w:rsidRDefault="004F1765">
      <w:pPr>
        <w:spacing w:after="0"/>
        <w:jc w:val="both"/>
        <w:rPr>
          <w:rFonts w:ascii="仿宋" w:eastAsia="仿宋" w:hAnsi="仿宋"/>
          <w:sz w:val="32"/>
          <w:szCs w:val="32"/>
        </w:rPr>
      </w:pPr>
    </w:p>
    <w:p w:rsidR="004F1765" w:rsidRDefault="003471C1" w:rsidP="00367EE1">
      <w:pPr>
        <w:spacing w:after="0" w:line="520" w:lineRule="exact"/>
        <w:jc w:val="both"/>
        <w:rPr>
          <w:rFonts w:ascii="仿宋" w:eastAsia="仿宋" w:hAnsi="仿宋"/>
          <w:sz w:val="32"/>
          <w:szCs w:val="32"/>
        </w:rPr>
      </w:pPr>
      <w:bookmarkStart w:id="0" w:name="_GoBack"/>
      <w:r>
        <w:rPr>
          <w:rFonts w:ascii="仿宋" w:eastAsia="仿宋" w:hAnsi="仿宋" w:hint="eastAsia"/>
          <w:sz w:val="32"/>
          <w:szCs w:val="32"/>
        </w:rPr>
        <w:t>各县（市、区）党委和人民政府、市直各单位：</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《三明市实施新时代人才强市战略推进“2+3+N”人才专项行动方案》已经市委、市政府研究同意，现印发给你们，请结合实际，认真抓好贯彻落实。</w:t>
      </w:r>
    </w:p>
    <w:p w:rsidR="004F1765" w:rsidRDefault="004F1765" w:rsidP="00367EE1">
      <w:pPr>
        <w:spacing w:after="0" w:line="520" w:lineRule="exact"/>
        <w:jc w:val="both"/>
        <w:rPr>
          <w:rFonts w:ascii="仿宋" w:eastAsia="仿宋" w:hAnsi="仿宋"/>
          <w:sz w:val="32"/>
          <w:szCs w:val="32"/>
        </w:rPr>
      </w:pPr>
    </w:p>
    <w:p w:rsidR="004F1765" w:rsidRDefault="004F1765" w:rsidP="00367EE1">
      <w:pPr>
        <w:spacing w:after="0" w:line="520" w:lineRule="exact"/>
        <w:jc w:val="both"/>
        <w:rPr>
          <w:rFonts w:ascii="仿宋" w:eastAsia="仿宋" w:hAnsi="仿宋"/>
          <w:sz w:val="32"/>
          <w:szCs w:val="32"/>
        </w:rPr>
      </w:pPr>
    </w:p>
    <w:p w:rsidR="004F1765" w:rsidRDefault="004F1765" w:rsidP="00367EE1">
      <w:pPr>
        <w:spacing w:after="0" w:line="520" w:lineRule="exact"/>
        <w:jc w:val="both"/>
        <w:rPr>
          <w:rFonts w:ascii="仿宋" w:eastAsia="仿宋" w:hAnsi="仿宋"/>
          <w:sz w:val="32"/>
          <w:szCs w:val="32"/>
        </w:rPr>
      </w:pPr>
    </w:p>
    <w:p w:rsidR="004F1765" w:rsidRDefault="004F1765" w:rsidP="00367EE1">
      <w:pPr>
        <w:spacing w:after="0" w:line="520" w:lineRule="exact"/>
        <w:jc w:val="both"/>
        <w:rPr>
          <w:rFonts w:ascii="仿宋" w:eastAsia="仿宋" w:hAnsi="仿宋"/>
          <w:sz w:val="32"/>
          <w:szCs w:val="32"/>
        </w:rPr>
      </w:pPr>
    </w:p>
    <w:p w:rsidR="004F1765" w:rsidRDefault="004F1765" w:rsidP="00367EE1">
      <w:pPr>
        <w:spacing w:after="0" w:line="520" w:lineRule="exact"/>
        <w:jc w:val="both"/>
        <w:rPr>
          <w:rFonts w:ascii="仿宋" w:eastAsia="仿宋" w:hAnsi="仿宋"/>
          <w:sz w:val="32"/>
          <w:szCs w:val="32"/>
        </w:rPr>
      </w:pP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中共三明市委人才工作领导小组</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2022年4月24日</w:t>
      </w:r>
    </w:p>
    <w:p w:rsidR="004F1765" w:rsidRDefault="004F1765" w:rsidP="00367EE1">
      <w:pPr>
        <w:spacing w:after="0" w:line="520" w:lineRule="exact"/>
        <w:jc w:val="both"/>
        <w:rPr>
          <w:rFonts w:ascii="仿宋" w:eastAsia="仿宋" w:hAnsi="仿宋"/>
          <w:sz w:val="32"/>
          <w:szCs w:val="32"/>
        </w:rPr>
      </w:pP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w:t>
      </w:r>
    </w:p>
    <w:p w:rsidR="004F1765" w:rsidRDefault="004F1765" w:rsidP="00367EE1">
      <w:pPr>
        <w:spacing w:after="0" w:line="520" w:lineRule="exact"/>
        <w:jc w:val="both"/>
        <w:rPr>
          <w:rFonts w:ascii="仿宋" w:eastAsia="仿宋" w:hAnsi="仿宋"/>
          <w:sz w:val="32"/>
          <w:szCs w:val="32"/>
        </w:rPr>
      </w:pPr>
    </w:p>
    <w:p w:rsidR="004F1765" w:rsidRDefault="004F1765" w:rsidP="00367EE1">
      <w:pPr>
        <w:spacing w:after="0" w:line="520" w:lineRule="exact"/>
        <w:jc w:val="both"/>
        <w:rPr>
          <w:rFonts w:ascii="仿宋" w:eastAsia="仿宋" w:hAnsi="仿宋"/>
          <w:sz w:val="32"/>
          <w:szCs w:val="32"/>
        </w:rPr>
      </w:pPr>
    </w:p>
    <w:p w:rsidR="004F1765" w:rsidRDefault="003471C1" w:rsidP="00367EE1">
      <w:pPr>
        <w:spacing w:after="0" w:line="520" w:lineRule="exact"/>
        <w:jc w:val="both"/>
        <w:rPr>
          <w:rFonts w:ascii="仿宋" w:eastAsia="仿宋" w:hAnsi="仿宋"/>
          <w:sz w:val="32"/>
          <w:szCs w:val="32"/>
        </w:rPr>
      </w:pPr>
      <w:r>
        <w:rPr>
          <w:rFonts w:ascii="仿宋" w:eastAsia="仿宋" w:hAnsi="仿宋"/>
          <w:sz w:val="32"/>
          <w:szCs w:val="32"/>
        </w:rPr>
        <w:t xml:space="preserve"> </w:t>
      </w:r>
    </w:p>
    <w:p w:rsidR="004F1765" w:rsidRDefault="004F1765" w:rsidP="00367EE1">
      <w:pPr>
        <w:spacing w:after="0" w:line="520" w:lineRule="exact"/>
        <w:jc w:val="both"/>
        <w:rPr>
          <w:rFonts w:ascii="仿宋" w:eastAsia="仿宋" w:hAnsi="仿宋"/>
          <w:sz w:val="32"/>
          <w:szCs w:val="32"/>
        </w:rPr>
      </w:pPr>
    </w:p>
    <w:p w:rsidR="004F1765" w:rsidRDefault="004F1765" w:rsidP="00367EE1">
      <w:pPr>
        <w:spacing w:after="0" w:line="520" w:lineRule="exact"/>
        <w:jc w:val="both"/>
        <w:rPr>
          <w:rFonts w:ascii="仿宋" w:eastAsia="仿宋" w:hAnsi="仿宋"/>
          <w:sz w:val="32"/>
          <w:szCs w:val="32"/>
        </w:rPr>
      </w:pPr>
    </w:p>
    <w:p w:rsidR="004F1765" w:rsidRDefault="004F1765" w:rsidP="00367EE1">
      <w:pPr>
        <w:spacing w:after="0" w:line="520" w:lineRule="exact"/>
        <w:jc w:val="both"/>
        <w:rPr>
          <w:rFonts w:ascii="仿宋" w:eastAsia="仿宋" w:hAnsi="仿宋"/>
          <w:sz w:val="32"/>
          <w:szCs w:val="32"/>
        </w:rPr>
      </w:pPr>
    </w:p>
    <w:p w:rsidR="004F1765" w:rsidRDefault="004F1765" w:rsidP="00367EE1">
      <w:pPr>
        <w:spacing w:after="0" w:line="520" w:lineRule="exact"/>
        <w:jc w:val="both"/>
        <w:rPr>
          <w:rFonts w:ascii="仿宋" w:eastAsia="仿宋" w:hAnsi="仿宋"/>
          <w:sz w:val="32"/>
          <w:szCs w:val="32"/>
        </w:rPr>
      </w:pPr>
    </w:p>
    <w:p w:rsidR="004F1765" w:rsidRDefault="004F1765" w:rsidP="00367EE1">
      <w:pPr>
        <w:spacing w:after="0" w:line="520" w:lineRule="exact"/>
        <w:jc w:val="both"/>
        <w:rPr>
          <w:rFonts w:ascii="仿宋" w:eastAsia="仿宋" w:hAnsi="仿宋"/>
          <w:sz w:val="32"/>
          <w:szCs w:val="32"/>
        </w:rPr>
      </w:pPr>
    </w:p>
    <w:p w:rsidR="004F1765" w:rsidRDefault="004F1765" w:rsidP="00367EE1">
      <w:pPr>
        <w:spacing w:after="0" w:line="520" w:lineRule="exact"/>
        <w:jc w:val="both"/>
        <w:rPr>
          <w:rFonts w:ascii="仿宋" w:eastAsia="仿宋" w:hAnsi="仿宋"/>
          <w:sz w:val="32"/>
          <w:szCs w:val="32"/>
        </w:rPr>
      </w:pPr>
    </w:p>
    <w:p w:rsidR="004F1765" w:rsidRDefault="004F1765" w:rsidP="00367EE1">
      <w:pPr>
        <w:spacing w:after="0" w:line="520" w:lineRule="exact"/>
        <w:jc w:val="both"/>
        <w:rPr>
          <w:rFonts w:ascii="仿宋" w:eastAsia="仿宋" w:hAnsi="仿宋"/>
          <w:sz w:val="32"/>
          <w:szCs w:val="32"/>
        </w:rPr>
      </w:pPr>
    </w:p>
    <w:p w:rsidR="004F1765" w:rsidRDefault="003471C1" w:rsidP="00367EE1">
      <w:pPr>
        <w:spacing w:after="0" w:line="52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三明市实施新时代人才强市战略推进“2+3+N”人才专项行动方案</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为深入学习贯彻习近平总书记关于做好新时代人才工作的重要思想，贯彻落实中央和省委人才工作会议精神，加强和改进新时代人才工作，深入实施新时代人才强市战略，实现人才工作高质量发展，结合三明实际，制定如下行动方案。</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一、总体要求</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以习近平新时代中国特色社会主义思想为指导，深入贯彻党的十九大和十九届历次全会精神，全面贯彻落实习近平总书记关于做好新时代人才工作的重要思想，深入实施新时代人才强市战略，聚焦市委、市政府深化“五比五晒”、打好“八大攻坚战役”、建设“一区六城”目标任务，围绕打造区域型特色产业人才高地目标，全方位培养、引进、用好人才，聚天下英才而用之，加快构建具有三明特色和区域竞争力的人才制度优势，最大限度激发人才创新创造创业活力，全面提升我市人才竞争力、科技创新力、产业集聚力，为推进三明全方位高质量发展超越提供坚实的人才支撑。</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二、重点任务</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重点推进“2+3+N”人才专项行动。“2”即“两项计划”，重点实施“麒麟山人才培育计划”“明籍优秀人才</w:t>
      </w:r>
      <w:r>
        <w:rPr>
          <w:rFonts w:ascii="仿宋" w:eastAsia="仿宋" w:hAnsi="仿宋" w:hint="eastAsia"/>
          <w:sz w:val="32"/>
          <w:szCs w:val="32"/>
        </w:rPr>
        <w:lastRenderedPageBreak/>
        <w:t>回引计划”；“3”即“三个高地”，重点打造绿色经济发展人才高地、乡村振兴人才高地、教育医疗人才高地；“N”即“若干基地”，重点建设钢铁与装备制造业人才基地、氟新材料产业人才基地、石墨和石墨烯产业人才基地、现代种业人才基地、文旅康养产业人才基地、特色小吃产业人才基地、生物和生物医药产业人才基地等配套“433”现代产业体系的7个特色产业（行业）人才基地。</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三、培育壮大新时代人才队伍</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（一）实施“麒麟山人才培育计划”</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1.培育杰出人才（团队）。聚焦国家战略和我市重点领域、重点产业发展需要，遴选一批具有成长为国家重点专家人才、省引才“百人计划”、百千万人才工程省级人选、省高层次ABC类人才、省工科类青年专业人才、“雏鹰计划”青年拔尖人才、“创新之星”“创业之星”、产业领军团队、特级后备人才等潜力的培养对象。深化“揭榜挂帅”“军令状”等制度，吸引各类优秀人才到我市开展科研攻关与成果转化。发挥企业承载创新人才主体地位和高校人才培养主阵地作用，推动“6+1”科技创新平台提升科研实力和服务能力，鼓励企业自建或与高校、科研院所合作共建高水平创新平台，激发创新活力。〔责任单位：市人才办、人社局、工信局、科技局、商务局、团市委、科协，三明学院、三明医学科技职业学院，各县（市、区）（排第1为牵头单位，下同）〕</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2.培育高素质技能人才队伍。把技能人才工作摆在人才工作重要位置，构建以行业企业为主体、职业院校为基础、政府推动与社会支持相结合的高技能人才培养体系。</w:t>
      </w:r>
      <w:r>
        <w:rPr>
          <w:rFonts w:ascii="仿宋" w:eastAsia="仿宋" w:hAnsi="仿宋" w:hint="eastAsia"/>
          <w:sz w:val="32"/>
          <w:szCs w:val="32"/>
        </w:rPr>
        <w:lastRenderedPageBreak/>
        <w:t>鼓励职业院校对接区域产业发展需要，与龙头企业、产业园区共建职业技能培训中心，支持建设一批高水平职业院校和专业，建设职教园区。深化产教融合、校企合作，推广“订单式”“二元制”培养模式，推进企业新型学徒制，培养知识型、技能型、创新型高技能人才队伍。推行终身职业技能培训制度，完善职业技能实训体系，对接市场和产业发展需求，支持建设一批公共实训基地。贯通技能人才成长通道和发展路径，支持符合条件的高技能人才申报相对应系列的专业技术职称。完善高技能人才表彰体系，各级荣誉适当向高技能人才倾斜。广泛开展各种形式的职业技能竞赛和岗位练兵活动，建设技能大师工作室，持续培育“三明工匠”、“三明青年工匠”和各级技能大师工作室。〔责任单位：市人社局、人才办、教育局、工信局，总工会、团市委，三明学院、三明医学科技职业学院，各县（市、区）〕</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3.培育青年人才队伍。加强优秀年轻干部培养，充分发挥引进生和选调生工作在吸引储备优秀人才、改善干部队伍来源结构等方面的积极作用。优化工科类青年专业人才支持办法，深入实施就业创业促进、基层成长、青年见习等计划，对接“福腾200”成长营，推进落实大学生实习“扬帆计划”。加大博士后科研工作站和博士后创新实践基地招收博士后人员支持力度，长期稳定支持一批在科技创新领域取得突出成绩且具有明显创新潜力的优秀青年人才。结合海峡青年论坛、林博会等活动，加强港澳台地区和海外青年人才沟通交流合作。〔责任单位：市委组织部、</w:t>
      </w:r>
      <w:r>
        <w:rPr>
          <w:rFonts w:ascii="仿宋" w:eastAsia="仿宋" w:hAnsi="仿宋" w:hint="eastAsia"/>
          <w:sz w:val="32"/>
          <w:szCs w:val="32"/>
        </w:rPr>
        <w:lastRenderedPageBreak/>
        <w:t>编办、统战部、台港澳办，市人社局，团市委，各县（市、区）〕</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4.培育民生社会事业人才队伍。实施学前教师专业能力提升工程、中小学教师能力提升工程、特殊教育教师专业能力提升计划、农村教师专项培训计划、“双师型”职业院校教师培养培训计划、高素质创新型高校教师能力提升计划，进一步强化编制保障，改革补充机制，促进科学配置。实施卫生健康高层次人才队伍建设行动计划，支持一批卫生健康中青年人才开展科研工作，选送一批青年人才赴外研修，引进一批领军人才团队，柔性引进一批客座专家。加强卫生健康人才队伍规律性研究，制定卫生健康人才队伍中长期规划。通过招聘一批、定向培养一批、培训提升一批，壮大基层医学和公共卫生人才队伍。〔责任单位：市教育局、卫健委，市委编办，各县（市、区）〕</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5.培育其他重点领域人才队伍。围绕文化强市建设，加大哲学社会科学、新闻出版、广播影视、文化艺术、国际传播等专门人才培养支持力度。推进乡村人力资源开发，加强农业生产经营人才、农村二三产业发展人才、乡村公共服务人才、乡村治理人才和农业农村科技人才等队伍建设。大力培养精于实操的工程技术人才、能够解决复杂问题的工程科学人才、能够引领技术突破的工程引领人才。重视法治人才队伍建设，创新完善法治人才培养机制，加强法律服务队伍建设。同时，统筹推进数字技术、网信、知识产权、科学普及、“双碳”、社工、养老等经济社会重点领域专门人才队伍建设。〔责任单位：市委宣传部，市文旅局、农业农村局、科技局、教育局、司法局、发改</w:t>
      </w:r>
      <w:r>
        <w:rPr>
          <w:rFonts w:ascii="仿宋" w:eastAsia="仿宋" w:hAnsi="仿宋" w:hint="eastAsia"/>
          <w:sz w:val="32"/>
          <w:szCs w:val="32"/>
        </w:rPr>
        <w:lastRenderedPageBreak/>
        <w:t>委、林业局、民政局、市场监管局、科协等，各县（市、区）〕</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（二）实施“明籍优秀人才回引计划”</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color w:val="C00000"/>
          <w:sz w:val="32"/>
          <w:szCs w:val="32"/>
        </w:rPr>
        <w:t>1.建立人才回引激励机制。打好“家庭牌、乡情牌、亲情牌”，鼓励回引明籍优秀人才。新回引且近五年内毕业的经教育部认证的明籍国际知名三大世界大学最新排名均位于前200大学的国（境）外大学本科及本科以上毕业生和其他国（境）外大学的具有硕士及硕士以上学位毕业生、“双一流”高校（含原“985”“211”）全日制本科及本科以上或普通高校全日制硕士及硕士以上返乡就业或自主创业的高校毕业生，按照每人每月1000元标准给予其父母（或祖父母）家庭奖励，享受期5年。具体申领办法另行制定。〔责任单位：市人社局、教育局、人才办、财政局，团市委，各县（市、区）〕</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2.加大岗位开发供给力度。加大明籍高校毕业生回乡就业创业岗位供给，贯彻落实闽政办〔2017〕137号文件，对具有硕士及硕士以上学位或高级专业技术职务（县级以下事业单位可放宽到本科或中级专业技术职务）人才，以及行业、岗位、脱贫攻坚紧缺急需人才，可采取面试、组织考察的方式进行公开招聘；县级以下事业单位每年从年度招聘计划中拿出一定比例岗位，面向三明市户籍人员（或生源）招聘。全市“433”产业和重点行业、重要领域相关企业招聘引进明籍高层次人才或紧缺急需人才，可申请“人才编制池”编制。对特别优秀人才可采取“一事一议”方式予以解决。以各级党政机关、事业单位、国有企业、大型非公企业、辖区银行和保险等金融机构为重点，</w:t>
      </w:r>
      <w:r>
        <w:rPr>
          <w:rFonts w:ascii="仿宋" w:eastAsia="仿宋" w:hAnsi="仿宋" w:hint="eastAsia"/>
          <w:sz w:val="32"/>
          <w:szCs w:val="32"/>
        </w:rPr>
        <w:lastRenderedPageBreak/>
        <w:t>每年提供不少于600个实习实训岗位。实习单位应为实习学生购买人身意外保险，可为实习学生提供适度生活补贴（原则上每人每月不低于500元）。有条件的实习单位应为实习学生提供适当的劳动报酬。〔责任单位：市人社局、教育局、工信局、财政局、国资委、金融监管局，市委编办，团市委，工商联，三明学院、三明医学科技职业学院，各县（市、区）〕</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3.拓展人才沟通对接平台。加强与在外明籍优秀人才的沟通联系，建立在外明籍优秀人才信息库，在重点城市、重点院校分期分批建立三明青年人才工作联络处（站），吸引和凝聚在外明籍优秀人才关注和支持三明发展。持续关心关爱回引人才，建立健全各级领导联系服务明籍优秀人才机制，不定期举办明籍优秀人才座谈会。将回引的明籍优秀人才纳入人才培养使用规划，拓展人才回引成长渠道。打造青年人才综合服务平台（青年之家），不定期开展创业就业培训、人才沙龙、青年交友等活动。〔责任单位：市委组织部，市人才办、商务局、发改委、教育局、科技局、工信局、财政局、人社局、生态环境局、交通运输局、农业农村局、林业局、水利局、商务局、文旅局、卫健委、国资委，总工会、团市委、妇联、科协，工商联，各县（市、区）〕</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四、打造富有三明特色的人才高地</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一）绿色经济发展人才高地。围绕绿色产业发展和产业绿色转型，大力引进一批绿色产业、绿色创新、绿色消费、绿色基础设施、绿色能源、绿色金融、绿色交易、绿色发展保障等绿色经济“八大体系”的高层次人才和紧</w:t>
      </w:r>
      <w:r>
        <w:rPr>
          <w:rFonts w:ascii="仿宋" w:eastAsia="仿宋" w:hAnsi="仿宋" w:hint="eastAsia"/>
          <w:sz w:val="32"/>
          <w:szCs w:val="32"/>
        </w:rPr>
        <w:lastRenderedPageBreak/>
        <w:t>缺急需专业人才。鼓励和支持对外选聘相关领域高层次专家，建立专家智库，为产业规划、项目建设、投融资等出谋划策。推进人才培养机制创新，依托三明学院等院校，加强林业、现代农业、文旅康养等领域实用型人才培养，促进高校与绿色行业企业合作。建立绿色龙头企业库，加大对绿色企业扶持力度，与中国农业大学合作共建生态研究所，依托产业示范基地、企业技术中心等载体和平台，组织开展技术研究、攻关和成果转化，不断提升科技对绿色经济发展的贡献度，打造全省绿色经济重要增长极。〔责任单位：市发改委、人社局、人才办、财政局、农业农村局、科技局、工信局、教育局、文旅局、林业局、住建局、自然资源局、商务局、生态环境局、城管局、金融监管局，三明学院、三明医学科技职业学院，各县（市、区）〕</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二）乡村振兴人才高地。坚持把乡村人力资源开发放在首要位置，大力培养农业科技领军人才、农村电商、乡村工匠、农业经理人等一批乡村产业人才。开展村干部素质提升计划、高素质农民培育计划、基层农技推广体系改革与建设项目（基层农技推广人员培训）、乡村产业振兴带头人培育“头雁”项目、乡村振兴青春建功行动、乡村振兴巾帼行动等。加强教育、医疗、科技、精神文明建设等乡村振兴人才支持，完善驻村第一书记、科技特派员制度、乡村振兴指导员制度，推进“组团式”人才帮扶。大力实施“人才回引”，常态化开展人才项目“揭榜挂帅”赶集日，培育一批返乡创业人才，孵化一批乡村振兴带动型企业人才，引进一批“新知青”、“新农人”、“银发</w:t>
      </w:r>
      <w:r>
        <w:rPr>
          <w:rFonts w:ascii="仿宋" w:eastAsia="仿宋" w:hAnsi="仿宋" w:hint="eastAsia"/>
          <w:sz w:val="32"/>
          <w:szCs w:val="32"/>
        </w:rPr>
        <w:lastRenderedPageBreak/>
        <w:t>计划”人才。支持台湾乡建乡创团队参与乡村振兴，推动两岸乡村融合发展。建立健全乡村人才分级分类评价体系，探索“以赛代评”“以项目代评”，符合条件可直接认定相应技能等级。加强人才服务站、专家服务基地、青年之家、妇女之家、乡镇（街道）社工站等人才平台建设，为乡村人才提供政策咨询、人才认定、职称申报、项目申报、融资对接等服务。实施乡村振兴优秀人才激励计划，每年推荐表彰一批乡村振兴优秀人才。〔责任单位：市农业农村局、人社局、科技局、教育局、卫健委、商务局、民政局、文旅局、金融监管局、财政局，市委组织部、文明办、台港澳办，团市委、妇联，各县（市、区）〕</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三）教育医疗人才高地。探索教育“面试前置”，落实公立医院自主招聘和编制备案制管理，简化招聘程序，加大对“双一流”等重点院校毕业生招引力度。围绕基础教育综合改革，大力实施名优教师（校长）培育工程、职业院校教师素质提升计划、高校高层次人才队伍引育工程。完善名优教师梯级培养机制。健全市、县、校三级中小学骨干教师培养体系，依托三明教育学院建设全市中小学幼儿园教师发展中心，加快“互联网+”教育平台建设，为教师专业成长提供服务。推进三明学院申报硕士学位授予单位，申报建设现代产业学院。大力实施“卫生健康人才培养工程”推进医改再出发行动，巩固提升卫生健康领域名医“师带徒”引凤计划，依托中山大学医学院、中山大学附属第一医院、广安门医院等国内知名医学院校、医院，引进一批领军人才团队，柔性引进一批客座专家。健全“学”“带”“训”“赛”人才培养机制，建立教育医疗</w:t>
      </w:r>
      <w:r>
        <w:rPr>
          <w:rFonts w:ascii="仿宋" w:eastAsia="仿宋" w:hAnsi="仿宋" w:hint="eastAsia"/>
          <w:sz w:val="32"/>
          <w:szCs w:val="32"/>
        </w:rPr>
        <w:lastRenderedPageBreak/>
        <w:t>青年人才库，开展“订单式”“师带徒”等培养模式，选送一批中青年人才赴外研修，鼓励和支持在职青年人才学历深造，促进后备人才成长。〔责任单位：市教育局、卫健委，人才办、人社局、财政局，市委编办，三明学院、三明医学科技职业学院，三明教育学院、各县（市、区）〕</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五、建设引领高质量发展的产业人才基地</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一）钢铁与装备制造业人才基地。开展高端装备产业“巡检”，组织高校、科研院所、行业协会、金融机构等专家开展产业规划研究，对重点产业和龙头企业进行把脉问诊、技术输入、人才引进，给予运行经费支持。鼓励企业内部建立“师带徒”机制，对徒弟通过工程、技工等高级评审的，给予师傅及徒弟相应奖励，申请破格晋升名额向单项冠军企业、专精特新企业倾斜。掌握一批钢铁与装备制造产业领域具有关键突破性和拉动作用的高层次人才，发挥人才作用，联合骨干企业与高校、职业学院、技校等开展产学研合作，与机械科学研究总院等科研机构合作建设创新中心（平台）和中试基地，建设高端绿色装备制造产业集聚区，打造一批产业创新平台。〔责任单位：市工信局、科技局、人社局、人才办、教育局、财政局，三明学院、三明医学科技职业学院，各县（市、区）〕</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二）氟新材料产业人才基地。联合氟新材料相关企业深入重点院校开展人才招聘，有重点有方向开展引才工作。鼓励校企合作，通过“二元制”人才培养模式，根据企业岗位需求，定制“企业版”技术技能人才培养方案，为企业培养高素质技术技能型人才和能工巧匠。鼓励引进有关科研机构在三明设立区域总部和氟新材料技术研究院，</w:t>
      </w:r>
      <w:r>
        <w:rPr>
          <w:rFonts w:ascii="仿宋" w:eastAsia="仿宋" w:hAnsi="仿宋" w:hint="eastAsia"/>
          <w:sz w:val="32"/>
          <w:szCs w:val="32"/>
        </w:rPr>
        <w:lastRenderedPageBreak/>
        <w:t>打造氟新材料产业基地和全产业链集聚区，建设新型工业化产业示范基地。建设氟新材料产业人才创新创业服务平台，在融资服务、硬件设施、团队配备、市场拓展、知识产权交易和保护、成果转化等方面提供“一站式”“一条龙”服务，降低人才创业创新成本。〔责任单位：市科技局、工信局、人社局、教育局、市场监管局，三明学院、三明医学科技职业学院，各县（市、区）〕</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三）石墨和石墨烯产业人才基地。加强与国内知名高等院校和科研院所合作，建立石墨和石墨烯产业联合研究中心。支持我市高校建设石墨和石墨烯产业相关重点实验室等，支持高校教师进行石墨和石墨烯产业方向培训深造。大力引进人才（团队）在我市开展有产业化应用前景的石墨和石墨烯产业技术，强化项目启动和中试试验等经费保障。对认定的创业创新型人才和关键技术研发人才，给予贴息贷款、知识产权抵押贷款、股权投资等政策支持。〔责任单位：市科技局、发改委、工信局、人才办、人社局、财政局、金融监管局、税务局，三明人行、三明银保监局，三明学院、三明医学科技职业学院，各县（市、区）〕</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四）现代种业人才基地。鼓励科研单位和种子企业积极引进海内外高层次人才。大力培育育种领域领军人才（团队），建立国家级或省级重点实验室、工程中心。加强与农业高校、科研院所交流对接，培养一批业务精湛、积极投身现代种业发展的科研人才。加快推进现代种业技能人才和经营管理人才本土化培训，培养一批适应现代种业发展需要的技能型人才。加快建设稻种电子商务交易平</w:t>
      </w:r>
      <w:r>
        <w:rPr>
          <w:rFonts w:ascii="仿宋" w:eastAsia="仿宋" w:hAnsi="仿宋" w:hint="eastAsia"/>
          <w:sz w:val="32"/>
          <w:szCs w:val="32"/>
        </w:rPr>
        <w:lastRenderedPageBreak/>
        <w:t>台、水稻生产与繁育研究所，打造杂交水稻制种基地。贯彻落实农种发〔2016〕2号文件精神，鼓励科研人员到种子企业开展科技创新。〔责任单位：市农业农村局、科技局、财政局、教育局、人社局，科协，各县（市、区）〕</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五）文旅康养产业人才基地。实施文旅康养产业高端人才培养计划，推动建立市、县人才培训体系，注重培养一批研究型专家、高级技术技能人才和职业经理人。依托我市高校、职业院校学科专业和人才培育优势，积极推进产学研合作、院企合作，实施文旅康养职业教育和全市文旅康养基地人员专业培训，提升服务质量和水平，打造专业化、复合型人才队伍。实施文旅康养专家周末引智计划，积极对接协（学）会、高校、医院等高层次专家人才到我市文旅康养基地开展培训、诊疗等活动。〔责任单位：市文旅局、林业局、人社局、人才办、教育局、卫健委、科技局、财政局，总工会，三明学院、三明医学科技职业学院，各县（市、区）〕</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六）特色小吃产业人才基地。围绕打响“中国绿都·全宴三明”消费品牌，推动特色小吃标准化生产，培育核心物料基地，支持在全国重点区域建设技能培训实践基地。支持设立特色小吃产业创业研究中心，主动对接大中专院校开展特色小吃产业研究。注重挖掘特色小吃传承优秀人才，建立传统制作技艺保护中心，鼓励和支持建设省级、市级技能大师工作室，制定制作技艺地方标准，定期组织技艺大师招徒授课、传承技艺。〔责任单位：市人社局、文旅局、市场监管局、财政局，各县（市、区）〕</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lastRenderedPageBreak/>
        <w:t xml:space="preserve">　　（七）生物和生物医药产业人才基地。积极培育扶持我市高校、科研院所及企业组建国家级和省级医药科技创新平台，组织生物和生物医药产业人才开展关键技术联合攻关，支持园区和企业建设生物和生物医药通用中试平台。鼓励本市高校、科研院所加强与龙头企业合作，建立生物和生物医药专业大学毕业生实习实训基地，支持“订单式”方式培养生物和生物医药产业各层次专业人才。〔责任单位：市科技局、发改委、教育局、人社局、工信局，科协，三明学院、三明医学科技职业学院，各县（市、区）〕</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六、政策支持</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一）扩大特殊人才支持范围。在现有人才评价认定标准的基础上，制定完善各行业领域特殊人才评价认定标准，由用人单位申请、认定部门研究、报同级党委人才办审定后，纳入市级高层次及实用型人才予以支持。每年评定一批市级“雏鹰计划”青年拔尖人才、“创业之星”“创新之星”、产业领军团队、特级后备人才等，纳入市高层次人才认定。〔责任单位：市人才办、人社局、工信局、科技局、文旅局、农业农村局、住建局、科协，各县（市、区）〕</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二）加大科研经费支持力度。支持开展多种形式的科技成果转化和技术服务，落实科研人员职务科技成果转化现金奖励政策。对成功“揭榜挂帅”的高科技项目按不超过研发投入的30%、最高100万元给予科研经费支持；研发成果在我市落地转化的，给予高层次人才（团队）最高不超过2000万元科研经费补助。完善科研经费拨付机制，合理确定经费拨付计划，以信任为基础，充分授予科研人</w:t>
      </w:r>
      <w:r>
        <w:rPr>
          <w:rFonts w:ascii="仿宋" w:eastAsia="仿宋" w:hAnsi="仿宋" w:hint="eastAsia"/>
          <w:sz w:val="32"/>
          <w:szCs w:val="32"/>
        </w:rPr>
        <w:lastRenderedPageBreak/>
        <w:t>员经费使用自主权。〔责任单位：市科技局、人社局、人才办、财政局，各县（市、区）〕</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三）加大金融服务支持力度。拓展人才融资渠道，建立人才与金融机构对接机制，加大高层次人才创新创业信贷支持。探索实施“人才贷”信贷产品，聚焦国家科技领军人才和省市高层次人才，从人才标签、知识产权、研发投入、科创赛事获奖等维度，对人才和企业创新实力实现精准量化，把人才价值量化作为信贷审批依据，最高可为企业配置2000万元的信用免担保贷款。〔责任单位：市金融监管局、人社局、科技局、市场监管局〕</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四）强化人才管理使用保障。对引进的高层次紧缺急需人才，符合明委人才〔2019〕2号、闽人发〔2011〕68号条件的，可采取“一事一议、特事特办”绿色通道，符合晋升条件的优先聘任。支持科研人员到企业从事重大科技工程、关键核心技术攻关，科研人员离岗创业取得的工作业绩，可作为职称评审、岗位竞聘、考核奖励等重要依据。用好“人才编制池”编制，对选派服务期满3年、经考核优秀的，可推荐组织人事部门重点培养和使用。〔责任单位：市人社局、人才办、科技局、财政局，市委组织部、市委编办，各县（市、区）〕</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五）激活企业招引人才主体作用。继续按照明人社〔2020〕47号文件，对企业引才荐才落实奖励措施，同时，针对工业产业重点企业招引紧缺急需产业人才给予特殊政策支持（见附件）。对引进的、能实现重大产业突破的特级人才，按“一事一议”原则从人才、科技、工业等专项经费中，统筹给予最高1亿元的综合支持。对成功入选闽</w:t>
      </w:r>
      <w:r>
        <w:rPr>
          <w:rFonts w:ascii="仿宋" w:eastAsia="仿宋" w:hAnsi="仿宋" w:hint="eastAsia"/>
          <w:sz w:val="32"/>
          <w:szCs w:val="32"/>
        </w:rPr>
        <w:lastRenderedPageBreak/>
        <w:t>委人才〔2020〕4号文件重点计划支持的省级人才项目计划的，按照省级经费支持的10%分别给予企业20-300万元一次性配套奖励。〔责任单位：市人社局、工信局、科技局、人才办，科协〕</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六）加大重点领域引进人才支持力度。继续按照《三明市进一步加快人才集聚若干措施》（明委人才〔2019〕2号）落实购房补助、人才补助、住房保障等引进人才保障措施，同时，针对工业产业重点企业和教育医疗领域引进紧缺急需专业人才给予特殊政策支持（见附件）。</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七、保障措施</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（一）组织领导。各级党委和政府要高度重视人才工作，加强党对人才工作的全面领导，配齐配强人才工作力量，加强上下之间、部门之间人才工作的有效衔接，推动各项工作和配套政策措施落地见效。</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二）细化方案。实施新时代人才强市战略推进“2+3+N”人才专项行动在市委统一领导下开展，各有关单位要按照工作分工，抓好各项工作任务的细化、分解，明确完成时限及工作要求，并将各项措施实施细则报市委人才办汇总。</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三）经费保障。除上级补助资金和现有政策已明确资金渠道的以外，所需经费纳入受益地财政预算予以保障，涉及市本级的由年初预算安排的教育、卫健、科技、企业发展、人才、就业等专项经费列支。受益地财政为三元区的，由市、区两级财政按现行财政体制比例分担。</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（四）强化考核。各有关单位要切实提高思想认识，“一把手”要亲自抓、负总责，建立健全工作督查机制，</w:t>
      </w:r>
      <w:r>
        <w:rPr>
          <w:rFonts w:ascii="仿宋" w:eastAsia="仿宋" w:hAnsi="仿宋" w:hint="eastAsia"/>
          <w:sz w:val="32"/>
          <w:szCs w:val="32"/>
        </w:rPr>
        <w:lastRenderedPageBreak/>
        <w:t>推动各项工作任务落实落地。将各项工作任务完成情况作为各级领导班子推动高质量发展的年度考核、人才工作目标责任制考核重要内容。</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八、附则</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（一）本方案中的工业产业重点企业是指由市工信局牵头，围绕全市“433”现代产业体系确定钢铁与装备制造、新材料、高端纺织、新型建材、生物医药等产业重点企业名录。</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（二）本方案中的明籍优秀人才是指在三明市外工作生活的，籍贯地、户籍地或生源地在三明市范围内的各类优秀人才。</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（三）本方案中的教育医疗紧缺急需专业由各级教育部门、卫健部门牵头，与同级人社部门另行商定后确定。</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四）本方案中的国际知名三大世界大学排名以ARWU世界大学学术排名、QS世界大学排名和THE世界大学排名为准。教育部6所直属师范大学是指教育部直属管理的高等学校。全国省属重点师范类高等院校是指教育部最新公布的包括福建师范大学等省属重点师范类高等院校。全国重点医学院校是指教育部最新全国学科评估B级及以上学科专业医学院校、“双一流”医学院校。福建医科大学和福建中医药大学均参照全国重点医学院校予以政策支持。</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（五）申报对象应提交真实有效的申报材料。发现弄虚作假骗取补助资金的，由所在地或市直主管部门负责追回，并列入个人诚信档案，情节严重的，依法追究法律责任。</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lastRenderedPageBreak/>
        <w:t xml:space="preserve">　　（六）本方案具体解释工作由市委人才办、市人社局、市工信局、市教育局、市卫健委、市财政局等部门负责。</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（七）本方案自发布之日起施行，试行3年。本办法中的补助条款与《三明市进一步加快人才集聚若干措施》等政策产生重叠的，按照“就高、从优、不重复”的原则执行。</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附件：三明市工业产业重点企业和教育医疗领域紧缺急需人才引进培养支持政策（试行）</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w:t>
      </w:r>
    </w:p>
    <w:p w:rsidR="004F1765" w:rsidRDefault="004F1765" w:rsidP="00367EE1">
      <w:pPr>
        <w:spacing w:after="0" w:line="520" w:lineRule="exact"/>
        <w:jc w:val="both"/>
        <w:rPr>
          <w:rFonts w:ascii="仿宋" w:eastAsia="仿宋" w:hAnsi="仿宋"/>
          <w:sz w:val="32"/>
          <w:szCs w:val="32"/>
        </w:rPr>
      </w:pPr>
    </w:p>
    <w:p w:rsidR="004F1765" w:rsidRDefault="003471C1" w:rsidP="00367EE1">
      <w:pPr>
        <w:spacing w:after="0" w:line="520" w:lineRule="exact"/>
        <w:jc w:val="both"/>
        <w:rPr>
          <w:rFonts w:ascii="黑体" w:eastAsia="黑体" w:hAnsi="黑体" w:cs="黑体"/>
          <w:sz w:val="32"/>
          <w:szCs w:val="32"/>
        </w:rPr>
      </w:pPr>
      <w:r>
        <w:rPr>
          <w:rFonts w:ascii="黑体" w:eastAsia="黑体" w:hAnsi="黑体" w:cs="黑体" w:hint="eastAsia"/>
          <w:sz w:val="32"/>
          <w:szCs w:val="32"/>
        </w:rPr>
        <w:t>附件</w:t>
      </w:r>
    </w:p>
    <w:p w:rsidR="004F1765" w:rsidRDefault="003471C1" w:rsidP="00367EE1">
      <w:pPr>
        <w:spacing w:after="0" w:line="520" w:lineRule="exact"/>
        <w:jc w:val="center"/>
        <w:rPr>
          <w:rFonts w:ascii="仿宋" w:eastAsia="仿宋" w:hAnsi="仿宋"/>
          <w:sz w:val="32"/>
          <w:szCs w:val="32"/>
        </w:rPr>
      </w:pPr>
      <w:r>
        <w:rPr>
          <w:rFonts w:ascii="仿宋" w:eastAsia="仿宋" w:hAnsi="仿宋" w:hint="eastAsia"/>
          <w:sz w:val="44"/>
          <w:szCs w:val="44"/>
        </w:rPr>
        <w:t>三明市工业产业重点企业和教育医疗领域紧缺急需人才引进培养支持政策（试行）</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一、工业产业重点企业招引人才支持政策</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1.对工业产业重点企业新引进符合三明市年度人才引进和招聘紧缺急需专业目录的人才（团队），对三明发展做出重大贡献的，按照引进人才（团队）年度内企业新增产值等的一定比例给予企业引才奖励，最高不超过500万元。〔责任单位：市工信局、科技局、人社局、财政局〕</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2.对工业产业重点企业单次新招聘大中专毕业生10人及以上，且在我市缴纳社会保险2年及以上，受益地财政按照每人1000元标准给予企业一次性补助。新招聘引进且工作满1年及以上的，分别按照高级工每人1000元、硕士或副高职称专业技术人员或技师每人1万元、博士或正高职称专业技术人员或高级技师每人2万元的标准给予企业</w:t>
      </w:r>
      <w:r>
        <w:rPr>
          <w:rFonts w:ascii="仿宋" w:eastAsia="仿宋" w:hAnsi="仿宋" w:hint="eastAsia"/>
          <w:sz w:val="32"/>
          <w:szCs w:val="32"/>
        </w:rPr>
        <w:lastRenderedPageBreak/>
        <w:t>一次性补助。以上单个企业每年累计补助最高不超过10万元。〔责任单位：市人社局、工信局〕</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3.对工业产业重点企业新引进的D类及以上高层次人才，从引进的次月起3年内，按本人年度税前工薪给予一定比例的奖励。〔责任单位：市人社局、财政局、税务局〕</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二、教育医疗领域引进人才支持政策</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1.调整提高人才补助标准。对教育医疗领域新引进以下情形的人才，到全市公办中小学、幼儿园教研教学一线或全市公立医疗机构工作，且承诺在明最低服务年限5年的，人才补助标准相应提高，由原来在职期间发放调整为分5年发放。具体补助标准为：</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color w:val="C00000"/>
          <w:sz w:val="32"/>
          <w:szCs w:val="32"/>
        </w:rPr>
        <w:t>（1）对教育部6所直属师范大学（见附则）全日制师范专业毕业生，分别给予博士研究生、硕士研究生、本科生每人每月6000元、4000元、3000元；对福建师范大学等全国省属重点师范类高等院校（见附则）的全日制师范专业毕业生，分别给予博士研究生、硕士研究生、本科生每人每月3000元、2000元、1000元；对符合教育紧缺急需专业重点学科的其他普通全日制高校毕业生，分别给予博士研究生、硕士研究生每人每月3000元、1500元。</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2）对符合医疗紧缺急需专业，属于全国重点医学院校（见附则）以及福建医科大学和福建中医药大学的全日制毕业生，分别给予博士研究生、硕士研究生每人每月6000元、4000元；对普通医学院校的全日制毕业生，分别给予博士研究生、硕士研究生每人每月4000元、2000元。〔责任单位：市教育局、卫健委、人社局、人才办、财政局〕</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lastRenderedPageBreak/>
        <w:t xml:space="preserve">　　2.加大人才住房保障支持力度。对教育医疗领域新引进以下情形的人才，到全市公办中小学、幼儿园教研教学一线或全市公立医疗机构工作，且承诺在明最低服务年限10年的，给予人才房奖励，不再享受购房补助和限价商品房政策。三明市区人才房奖励办法另行制定，各县（市、区）可根据本地实际参照制定人才房奖励办法。具体标准为：</w:t>
      </w:r>
    </w:p>
    <w:p w:rsidR="004F1765" w:rsidRDefault="003471C1" w:rsidP="00367EE1">
      <w:pPr>
        <w:spacing w:after="0" w:line="520" w:lineRule="exact"/>
        <w:jc w:val="both"/>
        <w:rPr>
          <w:rFonts w:ascii="仿宋" w:eastAsia="仿宋" w:hAnsi="仿宋"/>
          <w:color w:val="C00000"/>
          <w:sz w:val="32"/>
          <w:szCs w:val="32"/>
        </w:rPr>
      </w:pPr>
      <w:r>
        <w:rPr>
          <w:rFonts w:ascii="仿宋" w:eastAsia="仿宋" w:hAnsi="仿宋" w:hint="eastAsia"/>
          <w:sz w:val="32"/>
          <w:szCs w:val="32"/>
        </w:rPr>
        <w:t xml:space="preserve">　　</w:t>
      </w:r>
      <w:r>
        <w:rPr>
          <w:rFonts w:ascii="仿宋" w:eastAsia="仿宋" w:hAnsi="仿宋" w:hint="eastAsia"/>
          <w:color w:val="C00000"/>
          <w:sz w:val="32"/>
          <w:szCs w:val="32"/>
        </w:rPr>
        <w:t>（1）对教育部6所直属师范大学（同上）全日制师范专业毕业生，按照博士研究生、硕士研究生、本科生分别给予120</w:t>
      </w:r>
      <w:r>
        <w:rPr>
          <w:rFonts w:ascii="仿宋" w:eastAsia="仿宋" w:hAnsi="仿宋" w:cs="宋体" w:hint="eastAsia"/>
          <w:color w:val="C00000"/>
          <w:sz w:val="32"/>
          <w:szCs w:val="32"/>
        </w:rPr>
        <w:t>㎡</w:t>
      </w:r>
      <w:r>
        <w:rPr>
          <w:rFonts w:ascii="仿宋" w:eastAsia="仿宋" w:hAnsi="仿宋" w:cs="微软雅黑" w:hint="eastAsia"/>
          <w:color w:val="C00000"/>
          <w:sz w:val="32"/>
          <w:szCs w:val="32"/>
        </w:rPr>
        <w:t>、</w:t>
      </w:r>
      <w:r>
        <w:rPr>
          <w:rFonts w:ascii="仿宋" w:eastAsia="仿宋" w:hAnsi="仿宋" w:hint="eastAsia"/>
          <w:color w:val="C00000"/>
          <w:sz w:val="32"/>
          <w:szCs w:val="32"/>
        </w:rPr>
        <w:t>100</w:t>
      </w:r>
      <w:r>
        <w:rPr>
          <w:rFonts w:ascii="仿宋" w:eastAsia="仿宋" w:hAnsi="仿宋" w:cs="宋体" w:hint="eastAsia"/>
          <w:color w:val="C00000"/>
          <w:sz w:val="32"/>
          <w:szCs w:val="32"/>
        </w:rPr>
        <w:t>㎡</w:t>
      </w:r>
      <w:r>
        <w:rPr>
          <w:rFonts w:ascii="仿宋" w:eastAsia="仿宋" w:hAnsi="仿宋" w:cs="微软雅黑" w:hint="eastAsia"/>
          <w:color w:val="C00000"/>
          <w:sz w:val="32"/>
          <w:szCs w:val="32"/>
        </w:rPr>
        <w:t>、</w:t>
      </w:r>
      <w:r>
        <w:rPr>
          <w:rFonts w:ascii="仿宋" w:eastAsia="仿宋" w:hAnsi="仿宋" w:hint="eastAsia"/>
          <w:color w:val="C00000"/>
          <w:sz w:val="32"/>
          <w:szCs w:val="32"/>
        </w:rPr>
        <w:t>80</w:t>
      </w:r>
      <w:r>
        <w:rPr>
          <w:rFonts w:ascii="仿宋" w:eastAsia="仿宋" w:hAnsi="仿宋" w:cs="宋体" w:hint="eastAsia"/>
          <w:color w:val="C00000"/>
          <w:sz w:val="32"/>
          <w:szCs w:val="32"/>
        </w:rPr>
        <w:t>㎡</w:t>
      </w:r>
      <w:r>
        <w:rPr>
          <w:rFonts w:ascii="仿宋" w:eastAsia="仿宋" w:hAnsi="仿宋" w:cs="微软雅黑" w:hint="eastAsia"/>
          <w:color w:val="C00000"/>
          <w:sz w:val="32"/>
          <w:szCs w:val="32"/>
        </w:rPr>
        <w:t>人才房奖励，未兑现人才房且在工作所在地辖区范围内无房的，可免租金入住人才公寓或可申请每月</w:t>
      </w:r>
      <w:r>
        <w:rPr>
          <w:rFonts w:ascii="仿宋" w:eastAsia="仿宋" w:hAnsi="仿宋" w:hint="eastAsia"/>
          <w:color w:val="C00000"/>
          <w:sz w:val="32"/>
          <w:szCs w:val="32"/>
        </w:rPr>
        <w:t>1000元租房补贴；对福建师范大学等全国省属重点师范类高等院校（同上）的全日制师范专业毕业生，按照博士研究生、硕士研究生分别给予100</w:t>
      </w:r>
      <w:r>
        <w:rPr>
          <w:rFonts w:ascii="仿宋" w:eastAsia="仿宋" w:hAnsi="仿宋" w:cs="宋体" w:hint="eastAsia"/>
          <w:color w:val="C00000"/>
          <w:sz w:val="32"/>
          <w:szCs w:val="32"/>
        </w:rPr>
        <w:t>㎡</w:t>
      </w:r>
      <w:r>
        <w:rPr>
          <w:rFonts w:ascii="仿宋" w:eastAsia="仿宋" w:hAnsi="仿宋" w:cs="微软雅黑" w:hint="eastAsia"/>
          <w:color w:val="C00000"/>
          <w:sz w:val="32"/>
          <w:szCs w:val="32"/>
        </w:rPr>
        <w:t>、</w:t>
      </w:r>
      <w:r>
        <w:rPr>
          <w:rFonts w:ascii="仿宋" w:eastAsia="仿宋" w:hAnsi="仿宋" w:hint="eastAsia"/>
          <w:color w:val="C00000"/>
          <w:sz w:val="32"/>
          <w:szCs w:val="32"/>
        </w:rPr>
        <w:t>80</w:t>
      </w:r>
      <w:r>
        <w:rPr>
          <w:rFonts w:ascii="仿宋" w:eastAsia="仿宋" w:hAnsi="仿宋" w:cs="宋体" w:hint="eastAsia"/>
          <w:color w:val="C00000"/>
          <w:sz w:val="32"/>
          <w:szCs w:val="32"/>
        </w:rPr>
        <w:t>㎡</w:t>
      </w:r>
      <w:r>
        <w:rPr>
          <w:rFonts w:ascii="仿宋" w:eastAsia="仿宋" w:hAnsi="仿宋" w:cs="微软雅黑" w:hint="eastAsia"/>
          <w:color w:val="C00000"/>
          <w:sz w:val="32"/>
          <w:szCs w:val="32"/>
        </w:rPr>
        <w:t>人才房奖励，未兑现人才房且在工作所在地辖区范围内无房的，可免租金入住人才公寓或可申请每月</w:t>
      </w:r>
      <w:r>
        <w:rPr>
          <w:rFonts w:ascii="仿宋" w:eastAsia="仿宋" w:hAnsi="仿宋" w:hint="eastAsia"/>
          <w:color w:val="C00000"/>
          <w:sz w:val="32"/>
          <w:szCs w:val="32"/>
        </w:rPr>
        <w:t>1000元租房补贴；对普通高等院校师范专业的全日制本科及本科以上毕业生，且在三明市范围内无房的，可免租金入住人才公寓或可申请每月500元租房补贴。租房补贴最长可享受5年。</w:t>
      </w:r>
    </w:p>
    <w:p w:rsidR="004F1765" w:rsidRDefault="003471C1" w:rsidP="00367EE1">
      <w:pPr>
        <w:spacing w:after="0" w:line="520" w:lineRule="exact"/>
        <w:jc w:val="both"/>
        <w:rPr>
          <w:rFonts w:ascii="仿宋" w:eastAsia="仿宋" w:hAnsi="仿宋"/>
          <w:sz w:val="32"/>
          <w:szCs w:val="32"/>
        </w:rPr>
      </w:pPr>
      <w:r>
        <w:rPr>
          <w:rFonts w:ascii="仿宋" w:eastAsia="仿宋" w:hAnsi="仿宋" w:hint="eastAsia"/>
          <w:sz w:val="32"/>
          <w:szCs w:val="32"/>
        </w:rPr>
        <w:t xml:space="preserve">　　（2）对符合医疗紧缺急需专业，属于全国重点医学院校（同上）以及福建医科大学和福建中医药大学的全日制毕业生，按照博士研究生、硕士研究生分别给予120</w:t>
      </w:r>
      <w:r>
        <w:rPr>
          <w:rFonts w:ascii="仿宋" w:eastAsia="仿宋" w:hAnsi="仿宋" w:cs="宋体" w:hint="eastAsia"/>
          <w:sz w:val="32"/>
          <w:szCs w:val="32"/>
        </w:rPr>
        <w:t>㎡</w:t>
      </w:r>
      <w:r>
        <w:rPr>
          <w:rFonts w:ascii="仿宋" w:eastAsia="仿宋" w:hAnsi="仿宋" w:cs="微软雅黑" w:hint="eastAsia"/>
          <w:sz w:val="32"/>
          <w:szCs w:val="32"/>
        </w:rPr>
        <w:t>、</w:t>
      </w:r>
      <w:r>
        <w:rPr>
          <w:rFonts w:ascii="仿宋" w:eastAsia="仿宋" w:hAnsi="仿宋" w:hint="eastAsia"/>
          <w:sz w:val="32"/>
          <w:szCs w:val="32"/>
        </w:rPr>
        <w:t>100</w:t>
      </w:r>
      <w:r>
        <w:rPr>
          <w:rFonts w:ascii="仿宋" w:eastAsia="仿宋" w:hAnsi="仿宋" w:cs="宋体" w:hint="eastAsia"/>
          <w:sz w:val="32"/>
          <w:szCs w:val="32"/>
        </w:rPr>
        <w:t>㎡</w:t>
      </w:r>
      <w:r>
        <w:rPr>
          <w:rFonts w:ascii="仿宋" w:eastAsia="仿宋" w:hAnsi="仿宋" w:cs="微软雅黑" w:hint="eastAsia"/>
          <w:sz w:val="32"/>
          <w:szCs w:val="32"/>
        </w:rPr>
        <w:t>人才房奖励，未兑现人才房且在三明市范围内无房的，可免租金入住人才公寓或可申请每月</w:t>
      </w:r>
      <w:r>
        <w:rPr>
          <w:rFonts w:ascii="仿宋" w:eastAsia="仿宋" w:hAnsi="仿宋" w:hint="eastAsia"/>
          <w:sz w:val="32"/>
          <w:szCs w:val="32"/>
        </w:rPr>
        <w:t>1000元租房补贴；属于普通医学院校的全日制毕业生，按照博士研究生、硕士研究生分别给予100</w:t>
      </w:r>
      <w:r>
        <w:rPr>
          <w:rFonts w:ascii="仿宋" w:eastAsia="仿宋" w:hAnsi="仿宋" w:cs="宋体" w:hint="eastAsia"/>
          <w:sz w:val="32"/>
          <w:szCs w:val="32"/>
        </w:rPr>
        <w:t>㎡</w:t>
      </w:r>
      <w:r>
        <w:rPr>
          <w:rFonts w:ascii="仿宋" w:eastAsia="仿宋" w:hAnsi="仿宋" w:cs="微软雅黑" w:hint="eastAsia"/>
          <w:sz w:val="32"/>
          <w:szCs w:val="32"/>
        </w:rPr>
        <w:t>、</w:t>
      </w:r>
      <w:r>
        <w:rPr>
          <w:rFonts w:ascii="仿宋" w:eastAsia="仿宋" w:hAnsi="仿宋" w:hint="eastAsia"/>
          <w:sz w:val="32"/>
          <w:szCs w:val="32"/>
        </w:rPr>
        <w:t>80</w:t>
      </w:r>
      <w:r>
        <w:rPr>
          <w:rFonts w:ascii="仿宋" w:eastAsia="仿宋" w:hAnsi="仿宋" w:cs="宋体" w:hint="eastAsia"/>
          <w:sz w:val="32"/>
          <w:szCs w:val="32"/>
        </w:rPr>
        <w:t>㎡</w:t>
      </w:r>
      <w:r>
        <w:rPr>
          <w:rFonts w:ascii="仿宋" w:eastAsia="仿宋" w:hAnsi="仿宋" w:cs="微软雅黑" w:hint="eastAsia"/>
          <w:sz w:val="32"/>
          <w:szCs w:val="32"/>
        </w:rPr>
        <w:t>人才房奖励，未兑现人才房</w:t>
      </w:r>
      <w:r>
        <w:rPr>
          <w:rFonts w:ascii="仿宋" w:eastAsia="仿宋" w:hAnsi="仿宋" w:cs="微软雅黑" w:hint="eastAsia"/>
          <w:sz w:val="32"/>
          <w:szCs w:val="32"/>
        </w:rPr>
        <w:lastRenderedPageBreak/>
        <w:t>且在三明市范围内无房的，可免租金入住人才公寓或可申请每月</w:t>
      </w:r>
      <w:r>
        <w:rPr>
          <w:rFonts w:ascii="仿宋" w:eastAsia="仿宋" w:hAnsi="仿宋" w:hint="eastAsia"/>
          <w:sz w:val="32"/>
          <w:szCs w:val="32"/>
        </w:rPr>
        <w:t>500元租房补贴。租房补贴最长可享受5年。〔责任单位：市教育局、卫健委、住建局、自然资源局、人社局、人才办、财政局〕</w:t>
      </w:r>
    </w:p>
    <w:p w:rsidR="004F1765" w:rsidRDefault="003471C1" w:rsidP="00367EE1">
      <w:pPr>
        <w:spacing w:after="0" w:line="520" w:lineRule="exact"/>
        <w:jc w:val="both"/>
        <w:rPr>
          <w:rFonts w:ascii="仿宋" w:eastAsia="仿宋" w:hAnsi="仿宋"/>
          <w:color w:val="C00000"/>
          <w:sz w:val="32"/>
          <w:szCs w:val="32"/>
        </w:rPr>
      </w:pPr>
      <w:r>
        <w:rPr>
          <w:rFonts w:ascii="仿宋" w:eastAsia="仿宋" w:hAnsi="仿宋" w:hint="eastAsia"/>
          <w:sz w:val="32"/>
          <w:szCs w:val="32"/>
        </w:rPr>
        <w:t xml:space="preserve">　　</w:t>
      </w:r>
      <w:r>
        <w:rPr>
          <w:rFonts w:ascii="仿宋" w:eastAsia="仿宋" w:hAnsi="仿宋" w:hint="eastAsia"/>
          <w:color w:val="C00000"/>
          <w:sz w:val="32"/>
          <w:szCs w:val="32"/>
        </w:rPr>
        <w:t>3.给予学历深造奖励补助。对在全市公办中小学、幼儿园教育教研教学一线或全市公立医疗机构工作，经组织批准，选派攻读符合教育医疗紧缺急需专业博士、硕士学位（年龄45周岁以下）的在职教师和在职医务人员，承诺取得学位后在明继续服务5年及以上的，除享受在职同类人员待遇外，学习期间再分别给予每人每月2000元、1000元补助（延毕学习期间不给予补助）。〔责任单位：市教育局、卫健委、人社局、财政局〕</w:t>
      </w:r>
    </w:p>
    <w:p w:rsidR="004F1765" w:rsidRDefault="003471C1" w:rsidP="00367EE1">
      <w:pPr>
        <w:spacing w:after="0" w:line="520" w:lineRule="exact"/>
        <w:jc w:val="both"/>
        <w:rPr>
          <w:rFonts w:ascii="仿宋" w:eastAsia="仿宋" w:hAnsi="仿宋"/>
          <w:color w:val="C00000"/>
          <w:sz w:val="32"/>
          <w:szCs w:val="32"/>
        </w:rPr>
      </w:pPr>
      <w:r>
        <w:rPr>
          <w:rFonts w:ascii="仿宋" w:eastAsia="仿宋" w:hAnsi="仿宋" w:hint="eastAsia"/>
          <w:sz w:val="32"/>
          <w:szCs w:val="32"/>
        </w:rPr>
        <w:t xml:space="preserve">　　</w:t>
      </w:r>
      <w:r>
        <w:rPr>
          <w:rFonts w:ascii="仿宋" w:eastAsia="仿宋" w:hAnsi="仿宋" w:hint="eastAsia"/>
          <w:color w:val="C00000"/>
          <w:sz w:val="32"/>
          <w:szCs w:val="32"/>
        </w:rPr>
        <w:t>4.鼓励在读研究生意向留明工作。鼓励和支持教育医疗领域的博士生导师、硕士生导师带领在读研究生及博士后，在全市公办中小学、幼儿园教研教学一线或全市公立医疗机构，开展教学实习视导、临床教学或科研活动等，在明期间分别给予博士生导师、硕士生导师每人每月5000元、3000元的工作补助。对符合教育医疗紧缺急需专业，且意向在全市公办中小学、幼儿园教研教学一线或全市公立医疗机构工作的博士，签订意向协议书后可申请市高层次人才预确认，并享受相关人才政策待遇；同时，建立学费代偿机制，对博士毕业后留明工作的给予一次性学费补助3万元。〔责任单位：市教育局、卫健委、人社局、财政局〕</w:t>
      </w:r>
    </w:p>
    <w:bookmarkEnd w:id="0"/>
    <w:p w:rsidR="004F1765" w:rsidRDefault="004F1765" w:rsidP="00367EE1">
      <w:pPr>
        <w:spacing w:after="0" w:line="520" w:lineRule="exact"/>
        <w:jc w:val="both"/>
        <w:rPr>
          <w:rFonts w:ascii="仿宋" w:eastAsia="仿宋" w:hAnsi="仿宋"/>
          <w:sz w:val="32"/>
          <w:szCs w:val="32"/>
        </w:rPr>
      </w:pPr>
    </w:p>
    <w:sectPr w:rsidR="004F1765">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206" w:rsidRDefault="003E1206">
      <w:r>
        <w:separator/>
      </w:r>
    </w:p>
  </w:endnote>
  <w:endnote w:type="continuationSeparator" w:id="0">
    <w:p w:rsidR="003E1206" w:rsidRDefault="003E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206" w:rsidRDefault="003E1206">
      <w:pPr>
        <w:spacing w:after="0"/>
      </w:pPr>
      <w:r>
        <w:separator/>
      </w:r>
    </w:p>
  </w:footnote>
  <w:footnote w:type="continuationSeparator" w:id="0">
    <w:p w:rsidR="003E1206" w:rsidRDefault="003E120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commondata" w:val="eyJoZGlkIjoiNTZiOWIxNTRkYzkyZjJmYThjMGM4NzIwMTFjYzUzZDUifQ=="/>
  </w:docVars>
  <w:rsids>
    <w:rsidRoot w:val="00015651"/>
    <w:rsid w:val="00015651"/>
    <w:rsid w:val="00195758"/>
    <w:rsid w:val="00323B43"/>
    <w:rsid w:val="003471C1"/>
    <w:rsid w:val="00367EE1"/>
    <w:rsid w:val="003D37D8"/>
    <w:rsid w:val="003E1206"/>
    <w:rsid w:val="004358AB"/>
    <w:rsid w:val="004F1765"/>
    <w:rsid w:val="008149A3"/>
    <w:rsid w:val="008B7726"/>
    <w:rsid w:val="00C32304"/>
    <w:rsid w:val="00C73C6D"/>
    <w:rsid w:val="00DF32A5"/>
    <w:rsid w:val="269B33AD"/>
    <w:rsid w:val="42B97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33703A-CB2D-40C0-AD55-3F5ABCDEA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32A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DF32A5"/>
    <w:rPr>
      <w:rFonts w:ascii="Tahoma" w:hAnsi="Tahoma"/>
      <w:sz w:val="18"/>
      <w:szCs w:val="18"/>
    </w:rPr>
  </w:style>
  <w:style w:type="paragraph" w:styleId="a4">
    <w:name w:val="footer"/>
    <w:basedOn w:val="a"/>
    <w:link w:val="Char0"/>
    <w:uiPriority w:val="99"/>
    <w:unhideWhenUsed/>
    <w:rsid w:val="00DF32A5"/>
    <w:pPr>
      <w:tabs>
        <w:tab w:val="center" w:pos="4153"/>
        <w:tab w:val="right" w:pos="8306"/>
      </w:tabs>
    </w:pPr>
    <w:rPr>
      <w:sz w:val="18"/>
      <w:szCs w:val="18"/>
    </w:rPr>
  </w:style>
  <w:style w:type="character" w:customStyle="1" w:styleId="Char0">
    <w:name w:val="页脚 Char"/>
    <w:basedOn w:val="a0"/>
    <w:link w:val="a4"/>
    <w:uiPriority w:val="99"/>
    <w:rsid w:val="00DF32A5"/>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1758</Words>
  <Characters>10024</Characters>
  <Application>Microsoft Office Word</Application>
  <DocSecurity>0</DocSecurity>
  <Lines>83</Lines>
  <Paragraphs>23</Paragraphs>
  <ScaleCrop>false</ScaleCrop>
  <Company/>
  <LinksUpToDate>false</LinksUpToDate>
  <CharactersWithSpaces>11759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LYC</cp:lastModifiedBy>
  <cp:revision>4</cp:revision>
  <dcterms:created xsi:type="dcterms:W3CDTF">2022-07-15T07:29:00Z</dcterms:created>
  <dcterms:modified xsi:type="dcterms:W3CDTF">2023-01-09T00:57:00Z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2052-11.1.0.12587</vt:lpwstr>
  </property>
  <property fmtid="{D5CDD505-2E9C-101B-9397-08002B2CF9AE}" pid="3" name="ICV">
    <vt:lpwstr>62727DE7F2C6417291BEBA7D2878A9DD</vt:lpwstr>
  </property>
</Properties>
</file>