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青田县教育局面向全国招引教育人才公告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为进一步加大人才招引力度，不断优化师资队伍结构，根据《浙江省事业单位公开招聘暂行办法》精神和我县教育事业发展的需要，经研究决定面向全国普通高校优秀毕业生招引事业编制高中教师9名。</w:t>
      </w:r>
      <w:r>
        <w:rPr>
          <w:rFonts w:hint="eastAsia" w:ascii="宋体" w:hAnsi="宋体" w:eastAsia="宋体" w:cs="宋体"/>
          <w:i w:val="0"/>
          <w:iCs w:val="0"/>
          <w:caps w:val="0"/>
          <w:color w:val="000000"/>
          <w:spacing w:val="0"/>
          <w:sz w:val="28"/>
          <w:szCs w:val="28"/>
          <w:bdr w:val="none" w:color="auto" w:sz="0" w:space="0"/>
          <w:shd w:val="clear" w:fill="FFFFFF"/>
        </w:rPr>
        <w:t>现将具体事宜公告如下</w:t>
      </w:r>
      <w:r>
        <w:rPr>
          <w:rFonts w:hint="eastAsia" w:ascii="宋体" w:hAnsi="宋体" w:eastAsia="宋体" w:cs="宋体"/>
          <w:i w:val="0"/>
          <w:iCs w:val="0"/>
          <w:caps w:val="0"/>
          <w:color w:val="3D3D3D"/>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一、招引岗位及条件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本次招引的教育人才为青田县教育局下属中小学正式公办教师，属全额事业编制。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具体招引的</w:t>
      </w:r>
      <w:bookmarkStart w:id="0" w:name="_GoBack"/>
      <w:bookmarkEnd w:id="0"/>
      <w:r>
        <w:rPr>
          <w:rFonts w:hint="eastAsia" w:ascii="宋体" w:hAnsi="宋体" w:eastAsia="宋体" w:cs="宋体"/>
          <w:i w:val="0"/>
          <w:iCs w:val="0"/>
          <w:caps w:val="0"/>
          <w:color w:val="000000"/>
          <w:spacing w:val="0"/>
          <w:sz w:val="28"/>
          <w:szCs w:val="28"/>
          <w:bdr w:val="none" w:color="auto" w:sz="0" w:space="0"/>
          <w:shd w:val="clear" w:fill="FFFFFF"/>
        </w:rPr>
        <w:t>岗位、计划及招引条件等，</w:t>
      </w:r>
      <w:r>
        <w:rPr>
          <w:rFonts w:hint="eastAsia" w:ascii="宋体" w:hAnsi="宋体" w:eastAsia="宋体" w:cs="宋体"/>
          <w:i w:val="0"/>
          <w:iCs w:val="0"/>
          <w:caps w:val="0"/>
          <w:color w:val="3D3D3D"/>
          <w:spacing w:val="0"/>
          <w:sz w:val="28"/>
          <w:szCs w:val="28"/>
          <w:bdr w:val="none" w:color="auto" w:sz="0" w:space="0"/>
          <w:shd w:val="clear" w:fill="FFFFFF"/>
        </w:rPr>
        <w:t>详见</w:t>
      </w:r>
      <w:r>
        <w:rPr>
          <w:rFonts w:hint="eastAsia" w:ascii="宋体" w:hAnsi="宋体" w:eastAsia="宋体" w:cs="宋体"/>
          <w:i w:val="0"/>
          <w:iCs w:val="0"/>
          <w:caps w:val="0"/>
          <w:color w:val="000000"/>
          <w:spacing w:val="0"/>
          <w:sz w:val="28"/>
          <w:szCs w:val="28"/>
          <w:bdr w:val="none" w:color="auto" w:sz="0" w:space="0"/>
          <w:shd w:val="clear" w:fill="FFFFFF"/>
        </w:rPr>
        <w:t>《2023年青田县教育局招引高校毕业生计划表》（附件1）。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二、招引</w:t>
      </w:r>
      <w:r>
        <w:rPr>
          <w:rFonts w:hint="eastAsia" w:ascii="宋体" w:hAnsi="宋体" w:eastAsia="宋体" w:cs="宋体"/>
          <w:i w:val="0"/>
          <w:iCs w:val="0"/>
          <w:caps w:val="0"/>
          <w:color w:val="000000"/>
          <w:spacing w:val="0"/>
          <w:sz w:val="28"/>
          <w:szCs w:val="28"/>
          <w:bdr w:val="none" w:color="auto" w:sz="0" w:space="0"/>
          <w:shd w:val="clear" w:fill="FFFFFF"/>
        </w:rPr>
        <w:t>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（一）招引对象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2023届硕士研究生及以上学历学位的普通高校毕业生。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（二）招引条件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应聘人员除应具备招引岗位所需资格条件外，还需符合以下条件：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1.拥护党的基本路线，遵纪守法，品德高尚，作风正派，热爱教育事业，志愿从事教育工作；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2.年龄为18至35周岁（1987年8月1日至2005年8月1日期间出生），博士45周岁以下（1977年8月1日以后出生）；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3.具有中华人民共和国国籍，户籍不限；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4.</w:t>
      </w:r>
      <w:r>
        <w:rPr>
          <w:rFonts w:hint="eastAsia" w:ascii="宋体" w:hAnsi="宋体" w:eastAsia="宋体" w:cs="宋体"/>
          <w:i w:val="0"/>
          <w:iCs w:val="0"/>
          <w:caps w:val="0"/>
          <w:color w:val="000000"/>
          <w:spacing w:val="0"/>
          <w:sz w:val="28"/>
          <w:szCs w:val="28"/>
          <w:bdr w:val="none" w:color="auto" w:sz="0" w:space="0"/>
          <w:shd w:val="clear" w:fill="FFFFFF"/>
        </w:rPr>
        <w:t>身心健康，具有适应岗位要求的身体条件。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三、招引程序和办法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按照公开、平等、竞争、择优的原则，通过报名、考试、体检、考察、聘用等程序进行。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（一）信息发布平台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青田县人民政府门户网、青田人社公众号、青田教育公众号等。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1.报名时间及形式：报名采用网络报名，每位应聘人员限报一个岗位。网络报名时间自公告发布之日起至2023年3月7日12:00止，逾期不再接受报名。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①</w:t>
      </w:r>
      <w:r>
        <w:rPr>
          <w:rFonts w:hint="eastAsia" w:ascii="宋体" w:hAnsi="宋体" w:eastAsia="宋体" w:cs="宋体"/>
          <w:i w:val="0"/>
          <w:iCs w:val="0"/>
          <w:caps w:val="0"/>
          <w:color w:val="3D3D3D"/>
          <w:spacing w:val="0"/>
          <w:sz w:val="28"/>
          <w:szCs w:val="28"/>
          <w:bdr w:val="none" w:color="auto" w:sz="0" w:space="0"/>
          <w:shd w:val="clear" w:fill="FFFFFF"/>
        </w:rPr>
        <w:t>电脑端地址https://s9cisrdu74.jiandaoyun.com/f/63eb81fa19e3280007fcf49b，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②</w:t>
      </w:r>
      <w:r>
        <w:rPr>
          <w:rFonts w:hint="eastAsia" w:ascii="宋体" w:hAnsi="宋体" w:eastAsia="宋体" w:cs="宋体"/>
          <w:i w:val="0"/>
          <w:iCs w:val="0"/>
          <w:caps w:val="0"/>
          <w:color w:val="3D3D3D"/>
          <w:spacing w:val="0"/>
          <w:sz w:val="28"/>
          <w:szCs w:val="28"/>
          <w:bdr w:val="none" w:color="auto" w:sz="0" w:space="0"/>
          <w:shd w:val="clear" w:fill="FFFFFF"/>
        </w:rPr>
        <w:t>扫描二维码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1954530" cy="1954530"/>
            <wp:effectExtent l="0" t="0" r="7620" b="7620"/>
            <wp:docPr id="4" name="图片 3"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5"/>
                    <a:stretch>
                      <a:fillRect/>
                    </a:stretch>
                  </pic:blipFill>
                  <pic:spPr>
                    <a:xfrm>
                      <a:off x="0" y="0"/>
                      <a:ext cx="1954530" cy="1954530"/>
                    </a:xfrm>
                    <a:prstGeom prst="rect">
                      <a:avLst/>
                    </a:prstGeom>
                    <a:noFill/>
                    <a:ln w="9525">
                      <a:noFill/>
                    </a:ln>
                  </pic:spPr>
                </pic:pic>
              </a:graphicData>
            </a:graphic>
          </wp:inline>
        </w:drawing>
      </w:r>
      <w:r>
        <w:rPr>
          <w:rFonts w:hint="eastAsia" w:ascii="宋体" w:hAnsi="宋体" w:eastAsia="宋体" w:cs="宋体"/>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2.符合报名条件者如实填写报名信息并上传本人身份证、</w:t>
      </w:r>
      <w:r>
        <w:rPr>
          <w:rFonts w:hint="eastAsia" w:ascii="宋体" w:hAnsi="宋体" w:eastAsia="宋体" w:cs="宋体"/>
          <w:i w:val="0"/>
          <w:iCs w:val="0"/>
          <w:caps w:val="0"/>
          <w:color w:val="000000"/>
          <w:spacing w:val="0"/>
          <w:sz w:val="28"/>
          <w:szCs w:val="28"/>
          <w:bdr w:val="none" w:color="auto" w:sz="0" w:space="0"/>
          <w:shd w:val="clear" w:fill="FFFFFF"/>
        </w:rPr>
        <w:t>毕业证书、学位证书或学校核发的就业推荐表、教育部学生司制</w:t>
      </w:r>
      <w:r>
        <w:rPr>
          <w:rFonts w:hint="eastAsia" w:ascii="宋体" w:hAnsi="宋体" w:eastAsia="宋体" w:cs="宋体"/>
          <w:i w:val="0"/>
          <w:iCs w:val="0"/>
          <w:caps w:val="0"/>
          <w:color w:val="3D3D3D"/>
          <w:spacing w:val="0"/>
          <w:sz w:val="28"/>
          <w:szCs w:val="28"/>
          <w:bdr w:val="none" w:color="auto" w:sz="0" w:space="0"/>
          <w:shd w:val="clear" w:fill="FFFFFF"/>
        </w:rPr>
        <w:t>发的《全国普通高校毕业生就业协议书》、相关荣誉证书等相关证件（证明）电子稿。留学人员还应上传教育部中国留学服务中心出具的境外学历、学位认证书。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（三）资格审查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1.资格初审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报名结束后，招引单位根据招引岗位所需条件对报名人员进行资格初审，应聘人员</w:t>
      </w:r>
      <w:r>
        <w:rPr>
          <w:rFonts w:hint="eastAsia" w:ascii="宋体" w:hAnsi="宋体" w:eastAsia="宋体" w:cs="宋体"/>
          <w:i w:val="0"/>
          <w:iCs w:val="0"/>
          <w:caps w:val="0"/>
          <w:color w:val="3D3D3D"/>
          <w:spacing w:val="0"/>
          <w:sz w:val="28"/>
          <w:szCs w:val="28"/>
          <w:bdr w:val="none" w:color="auto" w:sz="0" w:space="0"/>
          <w:shd w:val="clear" w:fill="FFFFFF"/>
        </w:rPr>
        <w:t>请于2023年3月8日12：00前在报名系统中自行查询资格初审结果。</w:t>
      </w:r>
      <w:r>
        <w:rPr>
          <w:rFonts w:hint="eastAsia" w:ascii="宋体" w:hAnsi="宋体" w:eastAsia="宋体" w:cs="宋体"/>
          <w:i w:val="0"/>
          <w:iCs w:val="0"/>
          <w:caps w:val="0"/>
          <w:color w:val="000000"/>
          <w:spacing w:val="0"/>
          <w:sz w:val="28"/>
          <w:szCs w:val="28"/>
          <w:bdr w:val="none" w:color="auto" w:sz="0" w:space="0"/>
          <w:shd w:val="clear" w:fill="FFFFFF"/>
        </w:rPr>
        <w:t>请各应聘人员在此期间保持手机畅通，否则，视为应聘人员自动放弃本次考试资格。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初审状态查询：资格初审后可采用以下方式进行信息查询。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①</w:t>
      </w:r>
      <w:r>
        <w:rPr>
          <w:rFonts w:hint="eastAsia" w:ascii="宋体" w:hAnsi="宋体" w:eastAsia="宋体" w:cs="宋体"/>
          <w:i w:val="0"/>
          <w:iCs w:val="0"/>
          <w:caps w:val="0"/>
          <w:color w:val="3D3D3D"/>
          <w:spacing w:val="0"/>
          <w:sz w:val="28"/>
          <w:szCs w:val="28"/>
          <w:bdr w:val="none" w:color="auto" w:sz="0" w:space="0"/>
          <w:shd w:val="clear" w:fill="FFFFFF"/>
        </w:rPr>
        <w:t>网址查询链接： https://s9cisrdu74.jiandaoyun.com/q/63eb81fa19e3280007fcf49b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②</w:t>
      </w:r>
      <w:r>
        <w:rPr>
          <w:rFonts w:hint="eastAsia" w:ascii="宋体" w:hAnsi="宋体" w:eastAsia="宋体" w:cs="宋体"/>
          <w:i w:val="0"/>
          <w:iCs w:val="0"/>
          <w:caps w:val="0"/>
          <w:color w:val="3D3D3D"/>
          <w:spacing w:val="0"/>
          <w:sz w:val="28"/>
          <w:szCs w:val="28"/>
          <w:bdr w:val="none" w:color="auto" w:sz="0" w:space="0"/>
          <w:shd w:val="clear" w:fill="FFFFFF"/>
        </w:rPr>
        <w:t>扫描二维码进行信息查询。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1902460" cy="1902460"/>
            <wp:effectExtent l="0" t="0" r="2540" b="2540"/>
            <wp:docPr id="3" name="图片 4"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7"/>
                    <a:stretch>
                      <a:fillRect/>
                    </a:stretch>
                  </pic:blipFill>
                  <pic:spPr>
                    <a:xfrm>
                      <a:off x="0" y="0"/>
                      <a:ext cx="1902460" cy="1902460"/>
                    </a:xfrm>
                    <a:prstGeom prst="rect">
                      <a:avLst/>
                    </a:prstGeom>
                    <a:noFill/>
                    <a:ln w="9525">
                      <a:noFill/>
                    </a:ln>
                  </pic:spPr>
                </pic:pic>
              </a:graphicData>
            </a:graphic>
          </wp:inline>
        </w:drawing>
      </w:r>
      <w:r>
        <w:rPr>
          <w:rFonts w:hint="eastAsia" w:ascii="宋体" w:hAnsi="宋体" w:eastAsia="宋体" w:cs="宋体"/>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2.资格复审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通过资格初审的应聘人员，携《青田县教育局应聘人员基本情况登记表》（报名系统下载打印件）及学校核发的就业推荐表、学历学位证书或教育部学生司制发的《全国普通高校毕业生就业协议书》（网签学校凭网页截图）、身份证明、相关荣誉证书等原件及复印件，到考试现场进行资格复审。未按规定的时间地点参加资格复审或资格复审不合格者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本次招引考试不设开考比例。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1.考试时间与地点：应聘人员于2023年3月11日8时前到青田县教师进修学校（江南实验学校综合楼四楼）报到，地址：青田县瓯南街道江南大道228号。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2.考试方式：考试采用课堂教学考核（模拟上课）的方式进行，模拟上课考核备课时间为</w:t>
      </w:r>
      <w:r>
        <w:rPr>
          <w:rFonts w:hint="eastAsia" w:ascii="宋体" w:hAnsi="宋体" w:eastAsia="宋体" w:cs="宋体"/>
          <w:i w:val="0"/>
          <w:iCs w:val="0"/>
          <w:caps w:val="0"/>
          <w:color w:val="000000"/>
          <w:spacing w:val="0"/>
          <w:sz w:val="28"/>
          <w:szCs w:val="28"/>
          <w:bdr w:val="none" w:color="auto" w:sz="0" w:space="0"/>
          <w:shd w:val="clear" w:fill="FFFFFF"/>
        </w:rPr>
        <w:t>30分钟，上课时间为10分钟</w:t>
      </w:r>
      <w:r>
        <w:rPr>
          <w:rFonts w:hint="eastAsia" w:ascii="宋体" w:hAnsi="宋体" w:eastAsia="宋体" w:cs="宋体"/>
          <w:i w:val="0"/>
          <w:iCs w:val="0"/>
          <w:caps w:val="0"/>
          <w:color w:val="3D3D3D"/>
          <w:spacing w:val="0"/>
          <w:sz w:val="28"/>
          <w:szCs w:val="28"/>
          <w:bdr w:val="none" w:color="auto" w:sz="0" w:space="0"/>
          <w:shd w:val="clear" w:fill="FFFFFF"/>
        </w:rPr>
        <w:t>，面试成绩满分为100分，合格分数为60分，面试不合格者自然淘汰。</w:t>
      </w:r>
      <w:r>
        <w:rPr>
          <w:rFonts w:hint="eastAsia" w:ascii="宋体" w:hAnsi="宋体" w:eastAsia="宋体" w:cs="宋体"/>
          <w:i w:val="0"/>
          <w:iCs w:val="0"/>
          <w:caps w:val="0"/>
          <w:color w:val="000000"/>
          <w:spacing w:val="0"/>
          <w:sz w:val="28"/>
          <w:szCs w:val="28"/>
          <w:bdr w:val="none" w:color="auto" w:sz="0" w:space="0"/>
          <w:shd w:val="clear" w:fill="FFFFFF"/>
        </w:rPr>
        <w:t>根据测试结果，择优现场签订就业协议。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（五）体检、考察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工作按《关于修订〈公务员录用体检通用标准（试行）〉及〈公务员录用体检操作手册（试行）〉有关内容的通知》（人社部发〔2016〕140号）、《关于印发&lt;公务员录用体检特殊标准（试行）&gt;的通知》（人社部发〔2010〕82号）和《关于进一步做好公务员考试录用体检工作的通知》（人社部发〔2012〕65号）等文件规定执行。考察按《公务员录用考察办法（试行）》（中组发〔2021〕11号）执行，具体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体检、考察不合格的，解除就业协议。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（六）公示与聘用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体检、考察合格者正式确定为拟聘用对象，拟聘用对象在青田县人民政府门户网、青田人社公众号、青田教育公众号向社会公示7个工作日，对拟聘人员没有异议或反映有问题经查实不影响聘用的，按聘用审批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新聘用的教师最低服务年限为5年（含试用期）。聘用人员列入事业编制管理，与学校签订事业单位聘用合同，并按规定约定试用期。试用期满后，考核合格者，予以正式聘用；不合格的，取消聘用。正式聘用后按《青田县中小学教师管理工作规定》(青教人〔2020〕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1.2023届毕业生必须在报到前取得毕业证书和学位证书，留学人员须取得教育部中国留学服务中心出具的境外学历、学位认证书；未取得教师资格证书的毕业生，必须在一年试用期内取得。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2.应聘人员资格审核贯穿招引工作全过程。应聘人员提交的报名信息应当真实、准确、有效。凡提供虚假信息和材料，或有意隐瞒本人真实情况的，一经查实，即取消招引资格。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3.应聘人员对本公告相关信息有异议的，可在公布之日起5日内向县教育局人事科反映（电话：0578-6822583），以便及时纠正。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4.本次招引工作由青田县人力资源和社会保障局、青田县教育局共同组织实施。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5.本公告未尽事宜，由青田县人力资源和社会保障局、青田县教育局负责解释。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如有变动，另行通知。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青田县教育局0578—6822583 0578—6824892  0578—6835193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青田县人力资源和社会保障局 0578—6822270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附件：1.</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"http://rsj.lishui.gov.cn/module/download/downfile.jsp?classid=0&amp;filename=f49ed1e39770414ca306b51883ec7dd4.xls" \o "2023年丽水市教育局直属学校引进高校毕业生计划表.xls"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5"/>
          <w:rFonts w:hint="eastAsia" w:ascii="宋体" w:hAnsi="宋体" w:eastAsia="宋体" w:cs="宋体"/>
          <w:i w:val="0"/>
          <w:iCs w:val="0"/>
          <w:caps w:val="0"/>
          <w:color w:val="000000"/>
          <w:spacing w:val="0"/>
          <w:sz w:val="28"/>
          <w:szCs w:val="28"/>
          <w:u w:val="none"/>
          <w:bdr w:val="none" w:color="auto" w:sz="0" w:space="0"/>
          <w:shd w:val="clear" w:fill="FFFFFF"/>
        </w:rPr>
        <w:t>2023年青田县教育局招引高校毕业生计划表</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26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"http://rsj.lishui.gov.cn/module/download/downfile.jsp?classid=0&amp;filename=f7ca02faffeb4d2fb44c5af395a07a81.wps" \o "招聘岗位专业参考目录.wps"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5"/>
          <w:rFonts w:hint="eastAsia" w:ascii="宋体" w:hAnsi="宋体" w:eastAsia="宋体" w:cs="宋体"/>
          <w:i w:val="0"/>
          <w:iCs w:val="0"/>
          <w:caps w:val="0"/>
          <w:color w:val="000000"/>
          <w:spacing w:val="0"/>
          <w:sz w:val="28"/>
          <w:szCs w:val="28"/>
          <w:u w:val="none"/>
          <w:bdr w:val="none" w:color="auto" w:sz="0" w:space="0"/>
          <w:shd w:val="clear" w:fill="FFFFFF"/>
        </w:rPr>
        <w:t>青田县教育局招引中小学教师专业目录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26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3.青田县教育局应聘人员基本情况登记表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青田县人力资源和社会保障局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青田县教育局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3D3D3D"/>
          <w:spacing w:val="0"/>
          <w:sz w:val="28"/>
          <w:szCs w:val="28"/>
          <w:bdr w:val="none" w:color="auto" w:sz="0" w:space="0"/>
          <w:shd w:val="clear" w:fill="FFFFFF"/>
        </w:rPr>
        <w:t>2023年2月17日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6"/>
          <w:szCs w:val="36"/>
          <w:bdr w:val="none" w:color="auto" w:sz="0" w:space="0"/>
          <w:shd w:val="clear" w:fill="FFFFFF"/>
        </w:rPr>
        <w:t>2023年青田县教育局招引高校毕业生计划表</w:t>
      </w:r>
    </w:p>
    <w:tbl>
      <w:tblPr>
        <w:tblW w:w="834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5"/>
        <w:gridCol w:w="1920"/>
        <w:gridCol w:w="2850"/>
        <w:gridCol w:w="29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0" w:type="dxa"/>
          <w:jc w:val="center"/>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序号</w:t>
            </w:r>
          </w:p>
        </w:tc>
        <w:tc>
          <w:tcPr>
            <w:tcW w:w="19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招引学段与学科</w:t>
            </w:r>
          </w:p>
        </w:tc>
        <w:tc>
          <w:tcPr>
            <w:tcW w:w="2850"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招引职数</w:t>
            </w:r>
          </w:p>
        </w:tc>
        <w:tc>
          <w:tcPr>
            <w:tcW w:w="2955"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招引条件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高中政治</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1（青田中学1）</w:t>
            </w:r>
          </w:p>
        </w:tc>
        <w:tc>
          <w:tcPr>
            <w:tcW w:w="295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ascii="仿宋" w:hAnsi="仿宋" w:eastAsia="仿宋" w:cs="仿宋"/>
                <w:sz w:val="19"/>
                <w:szCs w:val="19"/>
                <w:bdr w:val="none" w:color="auto" w:sz="0" w:space="0"/>
              </w:rPr>
              <w:t>202</w:t>
            </w:r>
            <w:r>
              <w:rPr>
                <w:rFonts w:hint="eastAsia" w:ascii="仿宋" w:hAnsi="仿宋" w:eastAsia="仿宋" w:cs="仿宋"/>
                <w:sz w:val="19"/>
                <w:szCs w:val="19"/>
                <w:bdr w:val="none" w:color="auto" w:sz="0" w:space="0"/>
              </w:rPr>
              <w:t>3年毕业的硕士及以上研究生（大陆的，要求为普通高校毕业生，所学专业相符或相近；港澳台、海外的，要求本科为大陆公办普通高校毕业且硕士学历学位经教育部认证，本科或研究生所学专业相符或相近）。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仿宋" w:hAnsi="仿宋" w:eastAsia="仿宋" w:cs="仿宋"/>
                <w:sz w:val="19"/>
                <w:szCs w:val="19"/>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高中历史</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高中地理</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4</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高中物理</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1（青田中学1）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5</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高中语文</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2（其中青田中学1）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高中数学</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2（其中青田中学1）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61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7</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9"/>
                <w:szCs w:val="19"/>
                <w:bdr w:val="none" w:color="auto" w:sz="0" w:space="0"/>
              </w:rPr>
              <w:t>职高机械设计及其自动化</w:t>
            </w:r>
          </w:p>
        </w:tc>
        <w:tc>
          <w:tcPr>
            <w:tcW w:w="28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1（县职技校1）</w:t>
            </w:r>
          </w:p>
        </w:tc>
        <w:tc>
          <w:tcPr>
            <w:tcW w:w="29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注：招引计划可视生源情况进行调整。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青田县教育局招引中小学教师专业目录</w:t>
      </w:r>
    </w:p>
    <w:tbl>
      <w:tblPr>
        <w:tblW w:w="8115" w:type="dxa"/>
        <w:tblCellSpacing w:w="0" w:type="dxa"/>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60"/>
        <w:gridCol w:w="960"/>
        <w:gridCol w:w="2100"/>
        <w:gridCol w:w="1620"/>
        <w:gridCol w:w="139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blCellSpacing w:w="0" w:type="dxa"/>
        </w:trPr>
        <w:tc>
          <w:tcPr>
            <w:tcW w:w="360" w:type="dxa"/>
            <w:vMerge w:val="restar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序号</w:t>
            </w:r>
          </w:p>
        </w:tc>
        <w:tc>
          <w:tcPr>
            <w:tcW w:w="960" w:type="dxa"/>
            <w:vMerge w:val="restart"/>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招引学段与学科</w:t>
            </w:r>
          </w:p>
        </w:tc>
        <w:tc>
          <w:tcPr>
            <w:tcW w:w="2100" w:type="dxa"/>
            <w:vMerge w:val="restart"/>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学术型研究生</w:t>
            </w:r>
          </w:p>
        </w:tc>
        <w:tc>
          <w:tcPr>
            <w:tcW w:w="1620" w:type="dxa"/>
            <w:vMerge w:val="restart"/>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专业硕士研究生</w:t>
            </w:r>
          </w:p>
        </w:tc>
        <w:tc>
          <w:tcPr>
            <w:tcW w:w="3075" w:type="dxa"/>
            <w:gridSpan w:val="2"/>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海外学生本科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blCellSpacing w:w="0" w:type="dxa"/>
        </w:trPr>
        <w:tc>
          <w:tcPr>
            <w:tcW w:w="360" w:type="dxa"/>
            <w:vMerge w:val="continue"/>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rPr>
                <w:rFonts w:hint="eastAsia" w:ascii="微软雅黑" w:hAnsi="微软雅黑" w:eastAsia="微软雅黑" w:cs="微软雅黑"/>
                <w:i w:val="0"/>
                <w:iCs w:val="0"/>
                <w:caps w:val="0"/>
                <w:color w:val="000000"/>
                <w:spacing w:val="0"/>
                <w:sz w:val="24"/>
                <w:szCs w:val="24"/>
              </w:rPr>
            </w:pPr>
          </w:p>
        </w:tc>
        <w:tc>
          <w:tcPr>
            <w:tcW w:w="960" w:type="dxa"/>
            <w:vMerge w:val="continue"/>
            <w:tcBorders>
              <w:top w:val="single" w:color="auto" w:sz="6" w:space="0"/>
              <w:left w:val="nil"/>
              <w:bottom w:val="single" w:color="auto" w:sz="6" w:space="0"/>
              <w:right w:val="single" w:color="auto" w:sz="6" w:space="0"/>
            </w:tcBorders>
            <w:shd w:val="clear" w:color="auto" w:fill="FFFFFF"/>
            <w:tcMar>
              <w:bottom w:w="0" w:type="dxa"/>
            </w:tcMar>
            <w:vAlign w:val="center"/>
          </w:tcPr>
          <w:p>
            <w:pPr>
              <w:rPr>
                <w:rFonts w:hint="eastAsia" w:ascii="微软雅黑" w:hAnsi="微软雅黑" w:eastAsia="微软雅黑" w:cs="微软雅黑"/>
                <w:i w:val="0"/>
                <w:iCs w:val="0"/>
                <w:caps w:val="0"/>
                <w:color w:val="000000"/>
                <w:spacing w:val="0"/>
                <w:sz w:val="24"/>
                <w:szCs w:val="24"/>
              </w:rPr>
            </w:pPr>
          </w:p>
        </w:tc>
        <w:tc>
          <w:tcPr>
            <w:tcW w:w="2100" w:type="dxa"/>
            <w:vMerge w:val="continue"/>
            <w:tcBorders>
              <w:top w:val="single" w:color="auto" w:sz="6" w:space="0"/>
              <w:left w:val="nil"/>
              <w:bottom w:val="single" w:color="auto" w:sz="6" w:space="0"/>
              <w:right w:val="single" w:color="auto" w:sz="6" w:space="0"/>
            </w:tcBorders>
            <w:shd w:val="clear" w:color="auto" w:fill="FFFFFF"/>
            <w:tcMar>
              <w:bottom w:w="0" w:type="dxa"/>
            </w:tcMar>
            <w:vAlign w:val="center"/>
          </w:tcPr>
          <w:p>
            <w:pPr>
              <w:rPr>
                <w:rFonts w:hint="eastAsia" w:ascii="微软雅黑" w:hAnsi="微软雅黑" w:eastAsia="微软雅黑" w:cs="微软雅黑"/>
                <w:i w:val="0"/>
                <w:iCs w:val="0"/>
                <w:caps w:val="0"/>
                <w:color w:val="000000"/>
                <w:spacing w:val="0"/>
                <w:sz w:val="24"/>
                <w:szCs w:val="24"/>
              </w:rPr>
            </w:pPr>
          </w:p>
        </w:tc>
        <w:tc>
          <w:tcPr>
            <w:tcW w:w="1620" w:type="dxa"/>
            <w:vMerge w:val="continue"/>
            <w:tcBorders>
              <w:top w:val="single" w:color="auto" w:sz="6" w:space="0"/>
              <w:left w:val="nil"/>
              <w:bottom w:val="single" w:color="auto" w:sz="6" w:space="0"/>
              <w:right w:val="single" w:color="auto" w:sz="6" w:space="0"/>
            </w:tcBorders>
            <w:shd w:val="clear" w:color="auto" w:fill="FFFFFF"/>
            <w:tcMar>
              <w:bottom w:w="0" w:type="dxa"/>
            </w:tcMar>
            <w:vAlign w:val="center"/>
          </w:tcPr>
          <w:p>
            <w:pPr>
              <w:rPr>
                <w:rFonts w:hint="eastAsia" w:ascii="微软雅黑" w:hAnsi="微软雅黑" w:eastAsia="微软雅黑" w:cs="微软雅黑"/>
                <w:i w:val="0"/>
                <w:iCs w:val="0"/>
                <w:caps w:val="0"/>
                <w:color w:val="000000"/>
                <w:spacing w:val="0"/>
                <w:sz w:val="24"/>
                <w:szCs w:val="24"/>
              </w:rPr>
            </w:pPr>
          </w:p>
        </w:tc>
        <w:tc>
          <w:tcPr>
            <w:tcW w:w="139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相符专业</w:t>
            </w:r>
          </w:p>
        </w:tc>
        <w:tc>
          <w:tcPr>
            <w:tcW w:w="1680" w:type="dxa"/>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1</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高中政治</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课程与教学论（思想政治教育方向）</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学科教学（思政）</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思想政治教育（师范）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政治学、政治学与行政学、国际政治、思想政治教育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2</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高中历史</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课程与教学论（历史教育学方向）、中国史、中国古代史、中国近现代史、世界史</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学科教学（历史）</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历史学（师范）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历史学、世界史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3</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高中地理</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课程与教学论（地理教育学方向）、地理学、自然地理学、人文地理学</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学科教学（地理）</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地理科学（师范）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地理信息科学、地理科学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4</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高中物理</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课程与教学论（物理教育学方向）、物理学、理论物理、凝聚态物理</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学科教学（物理）</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物理学（师范）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物理学、应用物理学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5</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高中语文</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课程与教学论（语文教育学方向） 、语言学及应用语言学、中国语言文学、中国现当代文学、中国古代文学</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学科教学（语文）、汉语国际教育</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汉语言文学（师范）、汉语国际教育（师范）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汉语言文学、汉语国际教育、汉语言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6</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高中数学</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课程与教学论（数学教育学方向）、数学、基础数学、计算数学、应用数学</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学科教学（数学）</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数学与应用数学（师范）、信息与计算科学（师范）</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数学与应用数学、信息与计算科学、数理基础科学、数据计算及应用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blCellSpacing w:w="0" w:type="dxa"/>
        </w:trPr>
        <w:tc>
          <w:tcPr>
            <w:tcW w:w="36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i w:val="0"/>
                <w:iCs w:val="0"/>
                <w:caps w:val="0"/>
                <w:color w:val="000000"/>
                <w:spacing w:val="0"/>
                <w:sz w:val="18"/>
                <w:szCs w:val="18"/>
                <w:bdr w:val="none" w:color="auto" w:sz="0" w:space="0"/>
              </w:rPr>
              <w:t>7</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职高机械</w:t>
            </w:r>
          </w:p>
        </w:tc>
        <w:tc>
          <w:tcPr>
            <w:tcW w:w="210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机械工程、机械制造及其自动化、机械设计及理论</w:t>
            </w:r>
          </w:p>
        </w:tc>
        <w:tc>
          <w:tcPr>
            <w:tcW w:w="162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机械、机械工程</w:t>
            </w:r>
          </w:p>
        </w:tc>
        <w:tc>
          <w:tcPr>
            <w:tcW w:w="139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i w:val="0"/>
                <w:iCs w:val="0"/>
                <w:caps w:val="0"/>
                <w:color w:val="000000"/>
                <w:spacing w:val="0"/>
                <w:sz w:val="19"/>
                <w:szCs w:val="19"/>
                <w:bdr w:val="none" w:color="auto" w:sz="0" w:space="0"/>
              </w:rPr>
              <w:t>机械设计制造及其自动化（师范）、机械工程、物联网工程、工业智能</w:t>
            </w:r>
          </w:p>
        </w:tc>
        <w:tc>
          <w:tcPr>
            <w:tcW w:w="1680" w:type="dxa"/>
            <w:tcBorders>
              <w:top w:val="nil"/>
              <w:left w:val="nil"/>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青田县教育局应聘人员基本情况登记表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报考岗位：                         №</w:t>
      </w:r>
    </w:p>
    <w:tbl>
      <w:tblPr>
        <w:tblW w:w="982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0"/>
        <w:gridCol w:w="1653"/>
        <w:gridCol w:w="1660"/>
        <w:gridCol w:w="1084"/>
        <w:gridCol w:w="1369"/>
        <w:gridCol w:w="398"/>
        <w:gridCol w:w="860"/>
        <w:gridCol w:w="1793"/>
        <w:gridCol w:w="16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tblCellSpacing w:w="0" w:type="dxa"/>
          <w:jc w:val="center"/>
        </w:trPr>
        <w:tc>
          <w:tcPr>
            <w:tcW w:w="14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姓名</w:t>
            </w:r>
          </w:p>
        </w:tc>
        <w:tc>
          <w:tcPr>
            <w:tcW w:w="14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毕业时间</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学位</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毕业时间</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学位</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blCellSpacing w:w="0" w:type="dxa"/>
          <w:jc w:val="center"/>
        </w:trPr>
        <w:tc>
          <w:tcPr>
            <w:tcW w:w="141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联系电话</w:t>
            </w: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0" w:type="dxa"/>
          <w:jc w:val="center"/>
        </w:trPr>
        <w:tc>
          <w:tcPr>
            <w:tcW w:w="141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6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如所填内容与事实不符，一切后果自负。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审核意见及签名</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21"/>
                <w:szCs w:val="21"/>
              </w:rPr>
            </w:pPr>
            <w:r>
              <w:rPr>
                <w:rFonts w:ascii="华文行楷" w:hAnsi="华文行楷" w:eastAsia="华文行楷" w:cs="华文行楷"/>
                <w:sz w:val="36"/>
                <w:szCs w:val="36"/>
                <w:bdr w:val="none" w:color="auto" w:sz="0" w:space="0"/>
              </w:rPr>
              <w:t>符合条件，同意该考生参加考试。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审核人：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温馨提醒</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应聘对象凭此表参加考试，请注意保存。</w:t>
            </w:r>
          </w:p>
        </w:tc>
      </w:tr>
    </w:tbl>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28E0CE7"/>
    <w:rsid w:val="028E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www.qingtian.gov.cn/picture/0/9100534b94dd430ea385ce78ceb0211e.png" TargetMode="External"/><Relationship Id="rId5" Type="http://schemas.openxmlformats.org/officeDocument/2006/relationships/image" Target="media/image1.png"/><Relationship Id="rId4" Type="http://schemas.openxmlformats.org/officeDocument/2006/relationships/hyperlink" Target="http://www.qingtian.gov.cn/picture/0/4f7804b61e4646e4b2a2e2f4a7bf7461.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2023-02-20T01:12:00Z</dcterms:created>
  <dc:creator>Administrator</dc:creator>
  <cp:lastModifiedBy>Administrator</cp:lastModifiedBy>
  <dcterms:modified xsi:type="dcterms:W3CDTF">2023-02-20T02:51:51Z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2B61D5EDA2C44A7CB5B115CE3A517AF9</vt:lpwstr>
  </property>
</Properties>
</file>