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05" w:type="dxa"/>
        <w:tblInd w:w="13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2177"/>
        <w:gridCol w:w="2884"/>
        <w:gridCol w:w="935"/>
        <w:gridCol w:w="935"/>
        <w:gridCol w:w="939"/>
      </w:tblGrid>
      <w:tr>
        <w:trPr>
          <w:trHeight w:val="90" w:hRule="atLeast"/>
        </w:trPr>
        <w:tc>
          <w:tcPr>
            <w:tcW w:w="880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小标宋_GBK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_GBK" w:hAnsi="方正小标宋_GBK" w:cs="宋体"/>
                <w:b/>
                <w:bCs/>
                <w:color w:val="000000"/>
                <w:kern w:val="0"/>
                <w:sz w:val="32"/>
                <w:szCs w:val="32"/>
              </w:rPr>
              <w:t>新昌县教体系统校园公开招聘教师应聘人员综合评价表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311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考生序号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级别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得分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17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院校类别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“双一流”高校、教育部直属师范大学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省属重点师范大学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其他院校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17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硕士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17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奖学金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国家级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省级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校级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17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三好学生、优秀学生干部等荣誉称号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国家级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省级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校级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17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优秀毕业生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省级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校级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　</w:t>
            </w:r>
          </w:p>
        </w:tc>
        <w:tc>
          <w:tcPr>
            <w:tcW w:w="2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是否中共党员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217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专业技能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省级一等奖及以上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省级二等奖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省级三等奖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2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面谈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根据岗位需要及就业意向等情况综合评价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总分</w:t>
            </w:r>
          </w:p>
        </w:tc>
        <w:tc>
          <w:tcPr>
            <w:tcW w:w="2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017309"/>
    <w:rsid w:val="2401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2023-03-01T03:25:00Z</dcterms:created>
  <dc:creator>Administrator</dc:creator>
  <cp:lastModifiedBy>Administrator</cp:lastModifiedBy>
  <dcterms:modified xsi:type="dcterms:W3CDTF">2023-03-01T03:25:47Z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