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0" w:afterAutospacing="0" w:line="390" w:lineRule="atLeast"/>
        <w:ind w:left="0" w:right="0"/>
      </w:pPr>
      <w:bookmarkStart w:id="0" w:name="_GoBack"/>
      <w:bookmarkEnd w:id="0"/>
      <w:r>
        <w:rPr>
          <w:rFonts w:hint="eastAsia" w:ascii="宋体" w:hAnsi="宋体" w:eastAsia="宋体" w:cs="宋体"/>
          <w:color w:val="000000"/>
          <w:sz w:val="21"/>
          <w:szCs w:val="21"/>
          <w:bdr w:val="none" w:color="auto" w:sz="0" w:space="0"/>
        </w:rPr>
        <w:t>　　附件1公开招聘单位基本情况表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50"/>
        <w:gridCol w:w="1372"/>
        <w:gridCol w:w="1372"/>
        <w:gridCol w:w="687"/>
        <w:gridCol w:w="1495"/>
        <w:gridCol w:w="2580"/>
        <w:gridCol w:w="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序号</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主管部门</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招 聘 单 位</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经费形式</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单 位 地 址</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主要职能</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广元市朝天区曾家镇第二小学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广元市朝天区曾家镇大竹村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从事小学教育教学、学前教育工作。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广元市朝天区两河口镇小学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广元市朝天区两河口镇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从事中小学教育教学、学前教育工作。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广元市朝天区曾家初级中学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广元市朝天区曾家镇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从事中学教育教学工作。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广元市朝天区之江初级中学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广元市朝天区朝天镇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从事中学教育教学工作。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广元市朝天区羊木初级中学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广元市朝天区羊木镇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从事中学教育教学工作。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广元市朝天区云雾山镇小学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广元市朝天区云雾山镇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从事小学教育教学、学前教育工作。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广元市朝天区羊木镇幼儿园</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广元市朝天区羊木镇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从事学前教育工作。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四川省广元市朝天职业中学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广元市朝天区朝天镇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从事高中职业教育教学工作。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广元市朝天区卫生健康局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差额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广元市朝天区朝天镇德胜街102号</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从事医疗、教学、预防、保健、康复和急诊急救等服务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广元市朝天区卫生健康局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广元市朝天区妇幼保健院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朝天区朝天镇飞霞路39号</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承担本地妇幼健康公共卫生和计划生育技术服务等职能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广元市朝天区卫生健康局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广元市朝天区羊木镇中心卫生院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朝天区羊木镇场镇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承担基本公共卫生服务、基本医疗服务及基层医疗卫生综合管理服务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广元市朝天区卫生健康局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广元市朝天区水磨沟镇卫生院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朝天区水磨沟镇兴林街2号</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承担基本公共卫生服务、基本医疗服务及基层医疗卫生综合管理服务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广元市朝天区卫生健康局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广元市朝天区李家镇卫生院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广元市朝天区李家镇河润街121号</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承担基本公共卫生服务、基本医疗服务及基层医疗卫生综合管理服务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广元市朝天区卫生健康局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广元市朝天区曾家镇中心卫生院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朝天区曾家镇场镇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承担基本公共卫生服务、基本医疗服务及基层医疗卫生综合管理服务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乡镇人民政府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乡镇所属事业单位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全额</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乡镇所在场镇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承担基层基本公共服务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r>
    </w:tbl>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附件2朝天区部分事业单位2023年上半年公开考试招聘岗位条件一览表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4"/>
        <w:gridCol w:w="531"/>
        <w:gridCol w:w="523"/>
        <w:gridCol w:w="493"/>
        <w:gridCol w:w="702"/>
        <w:gridCol w:w="485"/>
        <w:gridCol w:w="840"/>
        <w:gridCol w:w="525"/>
        <w:gridCol w:w="1311"/>
        <w:gridCol w:w="516"/>
        <w:gridCol w:w="680"/>
        <w:gridCol w:w="802"/>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序号</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主管部门</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招聘单位</w:t>
            </w:r>
          </w:p>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名称</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招聘岗位</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岗位</w:t>
            </w:r>
          </w:p>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名称</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招聘</w:t>
            </w:r>
            <w:r>
              <w:rPr>
                <w:rFonts w:hint="eastAsia" w:ascii="宋体" w:hAnsi="宋体" w:eastAsia="宋体" w:cs="宋体"/>
                <w:b/>
                <w:bCs/>
                <w:color w:val="000000"/>
                <w:sz w:val="18"/>
                <w:szCs w:val="18"/>
                <w:bdr w:val="none" w:color="auto" w:sz="0" w:space="0"/>
              </w:rPr>
              <w:br w:type="textWrapping"/>
            </w:r>
            <w:r>
              <w:rPr>
                <w:rFonts w:hint="eastAsia" w:ascii="宋体" w:hAnsi="宋体" w:eastAsia="宋体" w:cs="宋体"/>
                <w:b/>
                <w:bCs/>
                <w:color w:val="000000"/>
                <w:sz w:val="18"/>
                <w:szCs w:val="18"/>
                <w:bdr w:val="none" w:color="auto" w:sz="0" w:space="0"/>
              </w:rPr>
              <w:t>人数</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岗位</w:t>
            </w:r>
          </w:p>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编码</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学历/及学位</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专  业</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专业技术职务任职资格</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年龄</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其它要求</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考试</w:t>
            </w:r>
          </w:p>
          <w:p>
            <w:pPr>
              <w:pStyle w:val="2"/>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乡镇中小学校幼儿园</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幼儿教师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230701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学前教育/学前教育学/幼儿教育/音乐学/音乐教育/音乐科技与艺术/音乐表演/表演/表演艺术/美术教育/美术学/美术/舞蹈表演/舞蹈学/舞蹈教育/舞蹈编导/艺术教育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具有相应教师资格证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羊木幼儿园3名、两河小学2名、云雾山小学1名、曾家二小1名。服务期不低于5年。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《教育公共基础》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乡镇中小学校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初中数学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230702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数学/基础数学/应用数学/计算数学/数学与应用数学/信息与计算科学/数学教育/数理基础科学/概率论与数理统计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具有相应教师资格证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两河小学、曾家中学各1名。服务期不低于5年。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《教育公共基础》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初级中学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初中英语</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230703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英语/英语语言文学/商贸英语/商务英语/应用英语/英语翻译/英汉笔译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具有相应教师资格证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之江中学、羊木中学各1名。服务期不低于5年。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《教育公共基础》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乡镇中小学校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初中生物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230704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植物学/动物学/生理学/水生生物学/微生物学/神经生物学/遗传学/发育生物学/细胞生物学/生物化学与分子生物学/生物物理学/生态学/生物医学工程/生物学/生物科学/生物技术/生物信息学/生物信息技术/生物科学与生物技术/生物资源科学/生物安全/生态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具有相应教师资格证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之江中学、两河小学各1名。服务期不低于5年。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《教育公共基础》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广元市朝天区曾家初级中学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初中地理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230705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地理/地理学/自然地理学/人文地理学/地图学与地理信息系统/地理科学/地理信息科学/地理学教育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具有相应教师资格证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《教育公共基础》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四川省广元市朝天职业中学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高中语文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230706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语言学及应用语言学/汉语言文字学/中国古代文学/中国现当代文学/汉语言/汉语国际教育/语言学/汉语言文学教育/中国语言文学/中文应用/应用语言学/文学/中国文学/汉语言文学与文化传播/秘书学/文秘/文秘学/中文秘书教育/现代秘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具有相应教师资格证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《教育公共基础》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四川省广元市朝天职业中学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现代农艺</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230707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园林植物与观赏园艺/林业/风景园林/林业硕士专业/园林/园林工程/林木生产教育/林学教育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四川省广元市朝天职业中学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旅游服务与管理（旅游地理）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230708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旅游管理/旅游管理与服务教育/旅游管理硕士专业/酒店管理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四川省广元市朝天职业中学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会计财务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230709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大数据与财务管理/大数据与会计/大数据与审计/会计信息管理/统计与会计核算/统计与大数据分析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四川省广元市朝天职业中学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智慧健康养老服务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230710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健康管理/医学营养/老年保健与管理/婴儿托育服务与管理/健康管理/康复治疗学/妇幼保健医学/教育康复学/基础医学/保健食品与管理/生殖健康管理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广元市朝天区教育和科学技术局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四川省广元市朝天职业中学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机械加工（钳工）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230711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机械设计制造及其自动化/材料成型及控制工程/过程装备与控制工程/机械工程及自动化/机械电子工程/制造自动化与测控技术/机械设计及制造/机械制造及自动化/机械工程/机械工艺技术/工程机械/制造工程/机电一体化工程/机电技术教育/机电一体化技术/机械电子工程/机械设计及理论/机械维修及检测技术教育/铸造/焊接工艺及设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广元市朝天区卫生健康局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广元市朝天区乡镇卫生院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临床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230712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全日制大专及以上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临床医学/麻醉学/社区医疗 /儿科医学/眼视光医学/内科学/儿科学/外科学/妇产科学/眼科学/耳鼻咽喉科学/急诊医学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具有执业助理及以上资格的可放宽到35周岁及以下，服务期不低于5年。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《卫生专业技术岗位人员公共科目》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广元市朝天区卫生健康局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广元市朝天区乡镇卫生院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中医/中西医结合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230713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全日制大专及以上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中医学/针灸推拿/中医骨伤/中医养生保健/中医/中西医结合/针灸推拿学/中医养生康复学/推拿学/中医外科学/中西医临床医学/ 中医内科学/中医骨伤科学/中医妇科学/中医儿科学/中医五官科学/中医耳鼻咽喉科学/针灸学/中西医结合临床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具有执业助理及以上资格的可放宽到35周岁及以下，服务期不低于5年。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《卫生专业技术岗位人员公共科目》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广元市朝天区卫生健康局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230714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临床医学/麻醉学/儿科学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执业助理医师及以上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具有执业医师及以上资格的可放宽到35周岁及以下，服务期不低于5年。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《卫生专业技术岗位人员公共科目》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广元市朝天区卫生健康局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中医/中西医结合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230715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中西医临床医学/中西医结合/中医学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执业助理医师及以上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具有执业医师及以上资格的可放宽到35周岁及以下，服务期不低于5年。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《卫生专业技术岗位人员公共科目》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广元市朝天区卫生健康局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广元市朝天区妇幼保健院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会计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230716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财务管理/会计/会计学/财务会计/会计电算化/财务电算化/财会/会计硕士专业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具有会计师资格，年龄可放宽到35周岁及以下，服务期不低于5年。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广元市朝天区乡镇人民政府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乡镇所属事业单位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会计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230717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财务管理/会计/会计学/财务会计/会计电算化/财务电算化/财会/会计硕士专业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具有会计师资格，年龄可放宽到35周岁及以下，服务期不低于5年。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广元市朝天区乡镇人民政府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乡镇所属事业单位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文秘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230718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本科及以上/学士学位及以上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汉语言文学/汉语言/语言学/中国语言文学/中文应用/应用语言学/文学/中国文学/秘书学/文秘/文秘学/现代秘书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服务期不低于5年。</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《综合知识》</w:t>
            </w:r>
          </w:p>
        </w:tc>
      </w:tr>
    </w:tbl>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附件3免收笔试费相关规定</w:t>
      </w:r>
    </w:p>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具有下列情形之一者，可免收笔试费：</w:t>
      </w:r>
    </w:p>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1.根据《国务院关于在全国建立农村最低生活保障制度的通知》（国发〔2007〕19号）、《中共四川省委、四川省人民政府关于推进城乡社会救助体系建设的意见》（川委发〔2005〕9号）和《四川省城市居民最低生活保障实施办法》（省政府令第156号）规定享受国家最低生活保障金的城镇、农村家庭考生。</w:t>
      </w:r>
    </w:p>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2.《中共四川省委、四川省人民政府关于印发〈四川省农村扶贫开发规划（2001-2010年）〉的通知》确定的农村绝对贫困家庭考生。</w:t>
      </w:r>
    </w:p>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3.父母双亡、父母一方为烈士或一级伤残军人，且生活十分困难家庭的考生。</w:t>
      </w:r>
    </w:p>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4.因疾病、意外灾难等原因，导致一时不能维持基本生活的特殊困难家庭考生。</w:t>
      </w:r>
    </w:p>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符合上述情形1的特困考生凭县（市、区）民政部门发放的享受最低生活保障证明、特殊困难证明；符合上述情形2和4的特困考生凭乡（镇）政府、街道办事处和学校学生处出具的农村特困家庭证明、特殊困难证明；符合上述情形3的特困考生凭民政部门出具的父亲或母亲烈士证明、父亲或母亲一级伤残军人证明，当地派出所出具的父母双亡证明。报名时凭上述有效证明到报名点办理免收笔试费手续。</w:t>
      </w:r>
    </w:p>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附件4政策性加分相关规定</w:t>
      </w:r>
    </w:p>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4.同时符合多项加分规定的，按就高但不累加的原则加分。已按规定享受基层服务项目政策性加分考入机关事业单位的人员再次参加招考的，不再享受同项目加分政策。</w:t>
      </w:r>
    </w:p>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5.申请加分的报考人员，应将服务所在地县以上有关部门出具的有效证明、考核材料和服务证书原件交市人力资源社会保障局事业单位人事管理科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3A5A2863"/>
    <w:rsid w:val="3A5A2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5">
    <w:name w:val="Strong"/>
    <w:basedOn w:val="4"/>
    <w:qFormat/>
    <w:uiPriority w:val="0"/>
    <w:rPr>
      <w:b/>
    </w:rPr>
  </w:style>
  <w:style w:type="character" w:styleId="6">
    <w:name w:val="FollowedHyperlink"/>
    <w:basedOn w:val="4"/>
    <w:uiPriority w:val="0"/>
    <w:rPr>
      <w:rFonts w:hint="eastAsia" w:ascii="宋体" w:hAnsi="宋体" w:eastAsia="宋体" w:cs="宋体"/>
      <w:color w:val="800080"/>
      <w:sz w:val="18"/>
      <w:szCs w:val="18"/>
      <w:u w:val="single"/>
    </w:rPr>
  </w:style>
  <w:style w:type="character" w:styleId="7">
    <w:name w:val="Hyperlink"/>
    <w:basedOn w:val="4"/>
    <w:uiPriority w:val="0"/>
    <w:rPr>
      <w:rFonts w:hint="eastAsia" w:ascii="宋体" w:hAnsi="宋体" w:eastAsia="宋体" w:cs="宋体"/>
      <w:color w:val="0000FF"/>
      <w:sz w:val="18"/>
      <w:szCs w:val="18"/>
      <w:u w:val="single"/>
    </w:rPr>
  </w:style>
  <w:style w:type="character" w:customStyle="1" w:styleId="8">
    <w:name w:val="bds_more"/>
    <w:basedOn w:val="4"/>
    <w:uiPriority w:val="0"/>
    <w:rPr>
      <w:bdr w:val="none" w:color="auto" w:sz="0" w:space="0"/>
    </w:rPr>
  </w:style>
  <w:style w:type="character" w:customStyle="1" w:styleId="9">
    <w:name w:val="bds_more1"/>
    <w:basedOn w:val="4"/>
    <w:uiPriority w:val="0"/>
    <w:rPr>
      <w:rFonts w:hint="eastAsia" w:ascii="宋体" w:hAnsi="宋体" w:eastAsia="宋体" w:cs="宋体"/>
      <w:bdr w:val="none" w:color="auto" w:sz="0" w:space="0"/>
    </w:rPr>
  </w:style>
  <w:style w:type="character" w:customStyle="1" w:styleId="10">
    <w:name w:val="bds_more2"/>
    <w:basedOn w:val="4"/>
    <w:uiPriority w:val="0"/>
    <w:rPr>
      <w:bdr w:val="none" w:color="auto" w:sz="0" w:space="0"/>
    </w:rPr>
  </w:style>
  <w:style w:type="character" w:customStyle="1" w:styleId="11">
    <w:name w:val="bds_nopic"/>
    <w:basedOn w:val="4"/>
    <w:uiPriority w:val="0"/>
  </w:style>
  <w:style w:type="character" w:customStyle="1" w:styleId="12">
    <w:name w:val="bds_nopic1"/>
    <w:basedOn w:val="4"/>
    <w:uiPriority w:val="0"/>
  </w:style>
  <w:style w:type="character" w:customStyle="1" w:styleId="13">
    <w:name w:val="bds_nopic2"/>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2023-03-08T10:34:00Z</dcterms:created>
  <dc:creator>Administrator</dc:creator>
  <cp:lastModifiedBy>Administrator</cp:lastModifiedBy>
  <dcterms:modified xsi:type="dcterms:W3CDTF">2023-03-08T13:12:48Z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BCDB0CF8C04F4FCCA67D5D478D4F7FFE</vt:lpwstr>
  </property>
</Properties>
</file>