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2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2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一年来国际、国内发生的重大事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件。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5"/>
    <w:rsid w:val="00116465"/>
    <w:rsid w:val="0021773F"/>
    <w:rsid w:val="00C95FF5"/>
    <w:rsid w:val="EFE7B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170</Words>
  <Characters>969</Characters>
  <Lines>8</Lines>
  <Paragraphs>2</Paragraphs>
  <TotalTime>3</TotalTime>
  <ScaleCrop>false</ScaleCrop>
  <LinksUpToDate>false</LinksUpToDate>
  <CharactersWithSpaces>1137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2021-05-11T10:55:00Z</dcterms:created>
  <dc:creator>人事处:高勇涛</dc:creator>
  <cp:lastModifiedBy>uos</cp:lastModifiedBy>
  <dcterms:modified xsi:type="dcterms:W3CDTF">2022-03-15T10:17:28Z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