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雅黑" w:hAnsi="微软雅黑" w:eastAsia="微软雅黑" w:cs="微软雅黑"/>
          <w:i w:val="0"/>
          <w:iCs w:val="0"/>
          <w:caps w:val="0"/>
          <w:color w:val="015293"/>
          <w:spacing w:val="0"/>
          <w:sz w:val="45"/>
          <w:szCs w:val="45"/>
          <w:shd w:val="clear" w:fill="FFFFFF"/>
        </w:rPr>
      </w:pPr>
      <w:r>
        <w:rPr>
          <w:rFonts w:hint="eastAsia" w:ascii="微软雅黑" w:hAnsi="微软雅黑" w:eastAsia="微软雅黑" w:cs="微软雅黑"/>
          <w:i w:val="0"/>
          <w:iCs w:val="0"/>
          <w:caps w:val="0"/>
          <w:color w:val="015293"/>
          <w:spacing w:val="0"/>
          <w:sz w:val="45"/>
          <w:szCs w:val="45"/>
          <w:shd w:val="clear" w:fill="FFFFFF"/>
        </w:rPr>
        <w:t>青田中学赴浙江师范大学招聘教师公告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为进一步加强教师队伍建设，优化师资队伍结构，根据《浙江省事业单位公开招聘暂行办法》精神和我县教育事业发展的需要，经研究决定，浙江省青田县中学（以下简称青田中学）赴浙江师范大学公开招聘事业编制教师3名。现将具体事宜公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一、学校简介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青田中学地处具有“华侨之乡、石雕之乡、名人之乡”美誉的侨乡青田，学校创办于1939年春，校园占地面积200多亩，现有51个教学班，2000多名在校生，224名教职工，为浙江省首批一级普通高中特色示范学校、省一级重点中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二、招聘岗位及条件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本次招聘的教师为青田中学正式公办高中教师，属全额事业编制。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具体招聘的岗位、</w:t>
      </w:r>
      <w:bookmarkStart w:id="0" w:name="_GoBack"/>
      <w:bookmarkEnd w:id="0"/>
      <w:r>
        <w:rPr>
          <w:rFonts w:hint="eastAsia" w:ascii="宋体" w:hAnsi="宋体" w:eastAsia="宋体" w:cs="宋体"/>
          <w:i w:val="0"/>
          <w:iCs w:val="0"/>
          <w:caps w:val="0"/>
          <w:color w:val="000000"/>
          <w:spacing w:val="0"/>
          <w:sz w:val="28"/>
          <w:szCs w:val="28"/>
          <w:bdr w:val="none" w:color="auto" w:sz="0" w:space="0"/>
          <w:shd w:val="clear" w:fill="FFFFFF"/>
        </w:rPr>
        <w:t>计划及招聘条件详见《青田中学赴浙江师范大学招聘教师计划表》（见附件1）。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三、招聘对象和条件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应聘人员除应具备招聘岗位所需资格条件外，还需符合以下条件：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1.拥护党的基本路线，遵纪守法，品德高尚，作风正派，热爱教育事业，志愿从事教育工作；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2.年龄为18至35周岁（1987年8月1日至2005年8月1日期间出生），博士45周岁以下（1977年8月1日以后出生）；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3.具有中华人民共和国国籍，户籍不限；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4.身心健康，具有适应岗位要求的身体条件。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四、招聘程序和办法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按照公开、平等、竞争、择优的原则，通过报名、考试、体检、考察、聘用等程序进行。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1.信息发布平台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青田县人民政府门户网、浙江师范大学就业信息网、青田人社公众号、青田教育公众号、青田中学公众号等等。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2.报名和资格审查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现场报名：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时间 2023年4月14日14:30—17:30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地点 浙师大23幢外语楼108室。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网络报名：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（1）每位应聘人员限报一个岗位。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（2）报名时间：网络报名时间自公告发布之日起至4月13日17:00止；逾期不再接受报名。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（3）网络报名方式如下：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①点击网址进行报名：报名链接　　</w: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instrText xml:space="preserve"> HYPERLINK "https://s9cisrdu74.jiandaoyun.com/f/6427e923cb71c90008d53d81" </w:instrTex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separate"/>
      </w:r>
      <w:r>
        <w:rPr>
          <w:rStyle w:val="8"/>
          <w:rFonts w:hint="eastAsia" w:ascii="宋体" w:hAnsi="宋体" w:eastAsia="宋体" w:cs="宋体"/>
          <w:i w:val="0"/>
          <w:iCs w:val="0"/>
          <w:caps w:val="0"/>
          <w:color w:val="000000"/>
          <w:spacing w:val="0"/>
          <w:sz w:val="28"/>
          <w:szCs w:val="28"/>
          <w:u w:val="single"/>
          <w:bdr w:val="none" w:color="auto" w:sz="0" w:space="0"/>
          <w:shd w:val="clear" w:fill="FFFFFF"/>
        </w:rPr>
        <w:t>https://s9cisrdu74.jiandaoyun.com/f/6427e923cb71c90008d53d81</w: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end"/>
      </w:r>
      <w:r>
        <w:rPr>
          <w:rFonts w:hint="eastAsia" w:ascii="宋体" w:hAnsi="宋体" w:eastAsia="宋体" w:cs="宋体"/>
          <w:i w:val="0"/>
          <w:iCs w:val="0"/>
          <w:caps w:val="0"/>
          <w:color w:val="000000"/>
          <w:spacing w:val="0"/>
          <w:sz w:val="28"/>
          <w:szCs w:val="28"/>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报名二维码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u w:val="none"/>
          <w:bdr w:val="none" w:color="auto" w:sz="0" w:space="0"/>
          <w:shd w:val="clear" w:fill="FFFFFF"/>
        </w:rPr>
        <w:drawing>
          <wp:inline distT="0" distB="0" distL="114300" distR="114300">
            <wp:extent cx="1219200" cy="1219200"/>
            <wp:effectExtent l="0" t="0" r="0" b="0"/>
            <wp:docPr id="2" name="图片 2" descr="IMG_25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1219200" cy="1219200"/>
                    </a:xfrm>
                    <a:prstGeom prst="rect">
                      <a:avLst/>
                    </a:prstGeom>
                    <a:noFill/>
                    <a:ln w="9525">
                      <a:noFill/>
                    </a:ln>
                  </pic:spPr>
                </pic:pic>
              </a:graphicData>
            </a:graphic>
          </wp:inline>
        </w:drawing>
      </w:r>
      <w:r>
        <w:rPr>
          <w:rFonts w:hint="eastAsia" w:ascii="宋体" w:hAnsi="宋体" w:eastAsia="宋体" w:cs="宋体"/>
          <w:i w:val="0"/>
          <w:iCs w:val="0"/>
          <w:caps w:val="0"/>
          <w:color w:val="000000"/>
          <w:spacing w:val="0"/>
          <w:sz w:val="28"/>
          <w:szCs w:val="28"/>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③报名信息及初审状态查询：报名成功后可采用以下方式进行信息查询。网址查询链接：</w: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instrText xml:space="preserve"> HYPERLINK "https://s9cisrdu74.jiandaoyun.com/q/6427e923cb71c90008d53d81" </w:instrTex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separate"/>
      </w:r>
      <w:r>
        <w:rPr>
          <w:rStyle w:val="8"/>
          <w:rFonts w:hint="eastAsia" w:ascii="宋体" w:hAnsi="宋体" w:eastAsia="宋体" w:cs="宋体"/>
          <w:i w:val="0"/>
          <w:iCs w:val="0"/>
          <w:caps w:val="0"/>
          <w:color w:val="000000"/>
          <w:spacing w:val="0"/>
          <w:sz w:val="28"/>
          <w:szCs w:val="28"/>
          <w:u w:val="single"/>
          <w:bdr w:val="none" w:color="auto" w:sz="0" w:space="0"/>
          <w:shd w:val="clear" w:fill="FFFFFF"/>
        </w:rPr>
        <w:t>https://s9cisrdu74.jiandaoyun.com/q/6427e923cb71c90008d53d81</w: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end"/>
      </w:r>
      <w:r>
        <w:rPr>
          <w:rFonts w:hint="eastAsia" w:ascii="宋体" w:hAnsi="宋体" w:eastAsia="宋体" w:cs="宋体"/>
          <w:i w:val="0"/>
          <w:iCs w:val="0"/>
          <w:caps w:val="0"/>
          <w:color w:val="000000"/>
          <w:spacing w:val="0"/>
          <w:sz w:val="28"/>
          <w:szCs w:val="28"/>
          <w:bdr w:val="none" w:color="auto" w:sz="0" w:space="0"/>
          <w:shd w:val="clear" w:fill="FFFFFF"/>
        </w:rPr>
        <w:t> 查询二维码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u w:val="none"/>
          <w:bdr w:val="none" w:color="auto" w:sz="0" w:space="0"/>
          <w:shd w:val="clear" w:fill="FFFFFF"/>
        </w:rPr>
        <w:drawing>
          <wp:inline distT="0" distB="0" distL="114300" distR="114300">
            <wp:extent cx="1219200" cy="1219200"/>
            <wp:effectExtent l="0" t="0" r="0" b="0"/>
            <wp:docPr id="3" name="图片 3" descr="IMG_25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7"/>
                    <pic:cNvPicPr>
                      <a:picLocks noChangeAspect="1"/>
                    </pic:cNvPicPr>
                  </pic:nvPicPr>
                  <pic:blipFill>
                    <a:blip r:embed="rId7"/>
                    <a:stretch>
                      <a:fillRect/>
                    </a:stretch>
                  </pic:blipFill>
                  <pic:spPr>
                    <a:xfrm>
                      <a:off x="0" y="0"/>
                      <a:ext cx="1219200" cy="1219200"/>
                    </a:xfrm>
                    <a:prstGeom prst="rect">
                      <a:avLst/>
                    </a:prstGeom>
                    <a:noFill/>
                    <a:ln w="9525">
                      <a:noFill/>
                    </a:ln>
                  </pic:spPr>
                </pic:pic>
              </a:graphicData>
            </a:graphic>
          </wp:inline>
        </w:drawing>
      </w:r>
      <w:r>
        <w:rPr>
          <w:rFonts w:hint="eastAsia" w:ascii="宋体" w:hAnsi="宋体" w:eastAsia="宋体" w:cs="宋体"/>
          <w:i w:val="0"/>
          <w:iCs w:val="0"/>
          <w:caps w:val="0"/>
          <w:color w:val="000000"/>
          <w:spacing w:val="0"/>
          <w:sz w:val="28"/>
          <w:szCs w:val="28"/>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（4）报名时须上传或现场提供以下材料：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①盖好院校公章的普通高等学校毕业生就业协议书（一式三份）（网签学校凭网页截图打印稿）；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②《就业推荐表》（原件所在高校盖章）；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③有效期内的二代居民身份证；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④荣誉证书、成绩证明、获奖证书和资格证书等材料。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师范生还需提供师范类证明。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5）资格初审：报名结束后，招聘单位根据招聘岗位所需条件对报名人员进行资格初审，经资格初审，通知符合招聘条件的人员参加考试。请各应聘人员在此期间保持手机畅通，否则，视为应聘人员自动放弃本次考试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 3.考试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（1）考试时间与地点：应聘人员于2023年4月15日8时30分前到浙江师范大学23幢外语楼109室报到。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2）资格复审：通过资格初审的应聘人员，携从报名系统下载打印的应聘人员基本情况登记表及学校核发的就业推荐表、师范生证明、教育部学生司制发的《全国普通高校毕业生就业协议书》（网签学校凭网页截图）、相关荣誉证书等原件及复印件，到考试现场进行资格复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55"/>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（3）测试：本次招聘考试不设开考比例。应聘人员经资格复审后参加专业测试。测试形式为说课</w:t>
      </w:r>
      <w:r>
        <w:rPr>
          <w:rFonts w:ascii="等线" w:hAnsi="等线" w:eastAsia="等线" w:cs="等线"/>
          <w:i w:val="0"/>
          <w:iCs w:val="0"/>
          <w:caps w:val="0"/>
          <w:color w:val="000000"/>
          <w:spacing w:val="0"/>
          <w:sz w:val="28"/>
          <w:szCs w:val="28"/>
          <w:bdr w:val="none" w:color="auto" w:sz="0" w:space="0"/>
          <w:shd w:val="clear" w:fill="FFFFFF"/>
        </w:rPr>
        <w:t>，</w:t>
      </w:r>
      <w:r>
        <w:rPr>
          <w:rFonts w:hint="eastAsia" w:ascii="宋体" w:hAnsi="宋体" w:eastAsia="宋体" w:cs="宋体"/>
          <w:i w:val="0"/>
          <w:iCs w:val="0"/>
          <w:caps w:val="0"/>
          <w:color w:val="000000"/>
          <w:spacing w:val="0"/>
          <w:sz w:val="28"/>
          <w:szCs w:val="28"/>
          <w:bdr w:val="none" w:color="auto" w:sz="0" w:space="0"/>
          <w:shd w:val="clear" w:fill="FFFFFF"/>
        </w:rPr>
        <w:t>说课准备时间为45分钟，说课时间为15分钟。满分为100分，合格分为70分，测试不合格者自然淘汰。根据测试结果，择优现场签订就业协议。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4.体检与考察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体检参照人社部、国家卫计委、国家公务员局《关于修订公务员录用体检通用标准(试行)及公务员录用体检操作手册(试行)有关内容的通知》(人社部发〔2016〕140号)政策执行；考察工作按《公务员录用考察办法（试行）》（中组发〔2021〕11号）执行，具体时间另行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体检、考察不合格的或考察存在《浙江省国家公务员录用考察工作细则》规定不宜录用情形的，我校有权单方解除就业协议。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5.公示与聘用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体检、考察合格者正式确定为拟聘用对象，拟聘用对象在青田县人民政府信息公开网、青田人社微信公众号、青田中学微信公众号向社会公示7个工作日，对拟聘人员没有异议或反映有问题经查实不影响聘用的，按聘用审批权限办理聘用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聘用人员列入事业编制管理，与学校签订五年服务期限的事业单位聘用合同，并按规定约定试用期。试用期满后，考核合格者，予以正式聘用；不合格的，取消聘用。正式聘用后按《青田县中小学教师管理工作规定》(青教人〔2020〕9号)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五、其他事项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1.参加本次公开招聘的非浙江师范大学学生，请于4月13－14日进入浙师大访客预约链接登记审批，https://hub.17wanxiao.com/bsacs/scanCode.action?flag=weixingroup_zjsfdxfk&amp;paytype=weixin&amp;ecardFunc=index，审核通过后，入校码将以手机短信的形式发送，参会当天出示入校码并刷身份证后可进校。进校时间选择：4月15日7：00到20:00，事由：参加青田教育局招聘，被访人填学生处李凤莲老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2.2023届毕业生必须在7月底前取得《毕业证书》；未取得《教师资格证书》的毕业生，必须在一年试用期内取得。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3.应聘人员资格审核贯穿招聘工作全过程。应聘人员提交的报名信息应当真实、准确、有效。凡提供虚假信息和材料，或有意隐瞒本人真实情况的，一经查实，即取消招聘资格。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4.本次招聘考务工作由青田县人力资源和社会保障局、青田县教育局、青田中学组织实施。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5.本公告未尽事宜，由青田县人力资源和社会保障局、青田县教育局、青田中学负责解释。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如有变动，另行通知。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咨询电话：</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青田中学  0578-6503008 6909008</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青田县教育局0578—6822583 0578—6824892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青田县人力资源和社会保障局 0578—6822270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附件：1青田中学赴浙江师范大学招聘教师计划表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1395"/>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2.青田中学应聘人员基本情况登记表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righ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青田县人力资源和社会保障局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righ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青田县教育局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righ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浙江省青田县中学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0"/>
        <w:jc w:val="righ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2023年4月3日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rPr>
        <w:t>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1"/>
          <w:szCs w:val="21"/>
        </w:rPr>
      </w:pPr>
      <w:r>
        <w:rPr>
          <w:rFonts w:ascii="黑体" w:hAnsi="宋体" w:eastAsia="黑体" w:cs="黑体"/>
          <w:i w:val="0"/>
          <w:iCs w:val="0"/>
          <w:caps w:val="0"/>
          <w:color w:val="000000"/>
          <w:spacing w:val="0"/>
          <w:sz w:val="43"/>
          <w:szCs w:val="43"/>
          <w:bdr w:val="none" w:color="auto" w:sz="0" w:space="0"/>
          <w:shd w:val="clear" w:fill="FFFFFF"/>
        </w:rPr>
        <w:t>青田中学赴浙江师范大学招聘教师计划表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43"/>
          <w:szCs w:val="43"/>
          <w:bdr w:val="none" w:color="auto" w:sz="0" w:space="0"/>
          <w:shd w:val="clear" w:fill="FFFFFF"/>
        </w:rPr>
        <w:t> </w:t>
      </w:r>
    </w:p>
    <w:tbl>
      <w:tblPr>
        <w:tblW w:w="8745" w:type="dxa"/>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65"/>
        <w:gridCol w:w="1005"/>
        <w:gridCol w:w="750"/>
        <w:gridCol w:w="3420"/>
        <w:gridCol w:w="280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55" w:hRule="atLeast"/>
          <w:tblCellSpacing w:w="0" w:type="dxa"/>
          <w:jc w:val="center"/>
        </w:trPr>
        <w:tc>
          <w:tcPr>
            <w:tcW w:w="76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24"/>
                <w:szCs w:val="24"/>
                <w:bdr w:val="none" w:color="auto" w:sz="0" w:space="0"/>
              </w:rPr>
              <w:t>序号</w:t>
            </w:r>
          </w:p>
        </w:tc>
        <w:tc>
          <w:tcPr>
            <w:tcW w:w="100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24"/>
                <w:szCs w:val="24"/>
                <w:bdr w:val="none" w:color="auto" w:sz="0" w:space="0"/>
              </w:rPr>
              <w:t>招聘岗位</w:t>
            </w:r>
          </w:p>
        </w:tc>
        <w:tc>
          <w:tcPr>
            <w:tcW w:w="750" w:type="dxa"/>
            <w:tcBorders>
              <w:top w:val="single" w:color="000000" w:sz="6" w:space="0"/>
              <w:left w:val="nil"/>
              <w:bottom w:val="single" w:color="000000"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sz w:val="21"/>
                <w:szCs w:val="21"/>
              </w:rPr>
            </w:pPr>
            <w:r>
              <w:rPr>
                <w:rFonts w:hint="eastAsia" w:ascii="宋体" w:hAnsi="宋体" w:eastAsia="宋体" w:cs="宋体"/>
                <w:sz w:val="24"/>
                <w:szCs w:val="24"/>
                <w:bdr w:val="none" w:color="auto" w:sz="0" w:space="0"/>
              </w:rPr>
              <w:t>招聘计划</w:t>
            </w:r>
          </w:p>
        </w:tc>
        <w:tc>
          <w:tcPr>
            <w:tcW w:w="342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24"/>
                <w:szCs w:val="24"/>
                <w:bdr w:val="none" w:color="auto" w:sz="0" w:space="0"/>
              </w:rPr>
              <w:t>专业要求</w:t>
            </w:r>
          </w:p>
        </w:tc>
        <w:tc>
          <w:tcPr>
            <w:tcW w:w="280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24"/>
                <w:szCs w:val="24"/>
                <w:bdr w:val="none" w:color="auto" w:sz="0" w:space="0"/>
              </w:rPr>
              <w:t>招聘条件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040" w:hRule="atLeast"/>
          <w:tblCellSpacing w:w="0" w:type="dxa"/>
          <w:jc w:val="center"/>
        </w:trPr>
        <w:tc>
          <w:tcPr>
            <w:tcW w:w="76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sz w:val="24"/>
                <w:szCs w:val="24"/>
                <w:bdr w:val="none" w:color="auto" w:sz="0" w:space="0"/>
              </w:rPr>
              <w:t>1</w:t>
            </w:r>
          </w:p>
        </w:tc>
        <w:tc>
          <w:tcPr>
            <w:tcW w:w="100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sz w:val="24"/>
                <w:szCs w:val="24"/>
                <w:bdr w:val="none" w:color="auto" w:sz="0" w:space="0"/>
              </w:rPr>
              <w:t>高中语文</w:t>
            </w:r>
          </w:p>
        </w:tc>
        <w:tc>
          <w:tcPr>
            <w:tcW w:w="750" w:type="dxa"/>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sz w:val="24"/>
                <w:szCs w:val="24"/>
                <w:bdr w:val="none" w:color="auto" w:sz="0" w:space="0"/>
              </w:rPr>
              <w:t>1</w:t>
            </w:r>
          </w:p>
        </w:tc>
        <w:tc>
          <w:tcPr>
            <w:tcW w:w="342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sz w:val="21"/>
                <w:szCs w:val="21"/>
              </w:rPr>
            </w:pPr>
            <w:r>
              <w:rPr>
                <w:rFonts w:hint="eastAsia" w:ascii="宋体" w:hAnsi="宋体" w:eastAsia="宋体" w:cs="宋体"/>
                <w:sz w:val="24"/>
                <w:szCs w:val="24"/>
                <w:bdr w:val="none" w:color="auto" w:sz="0" w:space="0"/>
              </w:rPr>
              <w:t>硕士及以上研究生：学科教学（语文）、汉语国际教育、课程与教学论（语文教育学方向）、语文教育、中国古代文学、中国现当代文学、语言学及应用语言学、汉语言文字学。本科：汉语言文学、汉语国际教育、汉语言、汉语文学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sz w:val="21"/>
                <w:szCs w:val="21"/>
              </w:rPr>
            </w:pPr>
            <w:r>
              <w:rPr>
                <w:rFonts w:hint="eastAsia" w:ascii="宋体" w:hAnsi="宋体" w:eastAsia="宋体" w:cs="宋体"/>
                <w:sz w:val="24"/>
                <w:szCs w:val="24"/>
                <w:bdr w:val="none" w:color="auto" w:sz="0" w:space="0"/>
              </w:rPr>
              <w:t> </w:t>
            </w:r>
          </w:p>
        </w:tc>
        <w:tc>
          <w:tcPr>
            <w:tcW w:w="2805" w:type="dxa"/>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sz w:val="21"/>
                <w:szCs w:val="21"/>
              </w:rPr>
            </w:pPr>
            <w:r>
              <w:rPr>
                <w:rFonts w:hint="eastAsia" w:ascii="宋体" w:hAnsi="宋体" w:eastAsia="宋体" w:cs="宋体"/>
                <w:sz w:val="24"/>
                <w:szCs w:val="24"/>
                <w:bdr w:val="none" w:color="auto" w:sz="0" w:space="0"/>
              </w:rPr>
              <w:t>2023年毕业的硕士及以上研究生（大陆的，要求为普通高校毕业生，所学专业相符或相近；港澳台、海外的，要求本科为大陆公办普通高校毕业且硕士学历学位经教育部认证，本科或研究生所学专业相符或相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sz w:val="21"/>
                <w:szCs w:val="21"/>
              </w:rPr>
            </w:pPr>
            <w:r>
              <w:rPr>
                <w:rFonts w:hint="eastAsia" w:ascii="宋体" w:hAnsi="宋体" w:eastAsia="宋体" w:cs="宋体"/>
                <w:sz w:val="24"/>
                <w:szCs w:val="24"/>
                <w:bdr w:val="none" w:color="auto" w:sz="0" w:space="0"/>
              </w:rPr>
              <w:t>特别优秀的浙江省内生源，且录取分数在595分及以上的2023年普通高校毕业生，学历可放宽到本科。</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220" w:hRule="atLeast"/>
          <w:tblCellSpacing w:w="0" w:type="dxa"/>
          <w:jc w:val="center"/>
        </w:trPr>
        <w:tc>
          <w:tcPr>
            <w:tcW w:w="76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sz w:val="24"/>
                <w:szCs w:val="24"/>
                <w:bdr w:val="none" w:color="auto" w:sz="0" w:space="0"/>
              </w:rPr>
              <w:t>2</w:t>
            </w:r>
          </w:p>
        </w:tc>
        <w:tc>
          <w:tcPr>
            <w:tcW w:w="100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sz w:val="24"/>
                <w:szCs w:val="24"/>
                <w:bdr w:val="none" w:color="auto" w:sz="0" w:space="0"/>
              </w:rPr>
              <w:t>高中数学</w:t>
            </w:r>
          </w:p>
        </w:tc>
        <w:tc>
          <w:tcPr>
            <w:tcW w:w="750" w:type="dxa"/>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sz w:val="24"/>
                <w:szCs w:val="24"/>
                <w:bdr w:val="none" w:color="auto" w:sz="0" w:space="0"/>
              </w:rPr>
              <w:t>1</w:t>
            </w:r>
          </w:p>
        </w:tc>
        <w:tc>
          <w:tcPr>
            <w:tcW w:w="342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sz w:val="21"/>
                <w:szCs w:val="21"/>
              </w:rPr>
            </w:pPr>
            <w:r>
              <w:rPr>
                <w:rFonts w:hint="eastAsia" w:ascii="宋体" w:hAnsi="宋体" w:eastAsia="宋体" w:cs="宋体"/>
                <w:sz w:val="24"/>
                <w:szCs w:val="24"/>
                <w:bdr w:val="none" w:color="auto" w:sz="0" w:space="0"/>
              </w:rPr>
              <w:t>硕士及以上研究生：数学、学科教学（数学方向）、课程与教学论（数学方向）、计算数学、应用数学、应用数学与计算科学、基础数学、数据智能分析与应用、数学教育、数据科学。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sz w:val="21"/>
                <w:szCs w:val="21"/>
              </w:rPr>
            </w:pPr>
            <w:r>
              <w:rPr>
                <w:rFonts w:hint="eastAsia" w:ascii="宋体" w:hAnsi="宋体" w:eastAsia="宋体" w:cs="宋体"/>
                <w:sz w:val="24"/>
                <w:szCs w:val="24"/>
                <w:bdr w:val="none" w:color="auto" w:sz="0" w:space="0"/>
              </w:rPr>
              <w:t>本科：数学及应用数学、数学与应用数学、信息与计算科学、数据计算及应用、数理基础科学。</w:t>
            </w:r>
          </w:p>
        </w:tc>
        <w:tc>
          <w:tcPr>
            <w:tcW w:w="280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685" w:hRule="atLeast"/>
          <w:tblCellSpacing w:w="0" w:type="dxa"/>
          <w:jc w:val="center"/>
        </w:trPr>
        <w:tc>
          <w:tcPr>
            <w:tcW w:w="76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sz w:val="24"/>
                <w:szCs w:val="24"/>
                <w:bdr w:val="none" w:color="auto" w:sz="0" w:space="0"/>
              </w:rPr>
              <w:t>3</w:t>
            </w:r>
          </w:p>
        </w:tc>
        <w:tc>
          <w:tcPr>
            <w:tcW w:w="100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sz w:val="24"/>
                <w:szCs w:val="24"/>
                <w:bdr w:val="none" w:color="auto" w:sz="0" w:space="0"/>
              </w:rPr>
              <w:t>高中物理</w:t>
            </w:r>
          </w:p>
        </w:tc>
        <w:tc>
          <w:tcPr>
            <w:tcW w:w="750" w:type="dxa"/>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sz w:val="24"/>
                <w:szCs w:val="24"/>
                <w:bdr w:val="none" w:color="auto" w:sz="0" w:space="0"/>
              </w:rPr>
              <w:t>1</w:t>
            </w:r>
          </w:p>
        </w:tc>
        <w:tc>
          <w:tcPr>
            <w:tcW w:w="342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sz w:val="21"/>
                <w:szCs w:val="21"/>
              </w:rPr>
            </w:pPr>
            <w:r>
              <w:rPr>
                <w:rFonts w:hint="eastAsia" w:ascii="宋体" w:hAnsi="宋体" w:eastAsia="宋体" w:cs="宋体"/>
                <w:sz w:val="24"/>
                <w:szCs w:val="24"/>
                <w:bdr w:val="none" w:color="auto" w:sz="0" w:space="0"/>
              </w:rPr>
              <w:t>硕士及以上研究生：课程与教学论（物理教育学方向）、物理学、理论物理、凝聚态物理。本科：物理学、应用物理学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sz w:val="21"/>
                <w:szCs w:val="21"/>
              </w:rPr>
            </w:pPr>
            <w:r>
              <w:rPr>
                <w:rFonts w:hint="eastAsia" w:ascii="宋体" w:hAnsi="宋体" w:eastAsia="宋体" w:cs="宋体"/>
                <w:sz w:val="24"/>
                <w:szCs w:val="24"/>
                <w:bdr w:val="none" w:color="auto" w:sz="0" w:space="0"/>
              </w:rPr>
              <w:t> </w:t>
            </w:r>
          </w:p>
        </w:tc>
        <w:tc>
          <w:tcPr>
            <w:tcW w:w="280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rPr>
        <w:t>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43"/>
          <w:szCs w:val="43"/>
          <w:bdr w:val="none" w:color="auto" w:sz="0" w:space="0"/>
          <w:shd w:val="clear" w:fill="FFFFFF"/>
        </w:rPr>
        <w:t>青田中学应聘人员基本情况登记表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000000"/>
          <w:spacing w:val="0"/>
          <w:sz w:val="21"/>
          <w:szCs w:val="21"/>
        </w:rPr>
      </w:pPr>
      <w:r>
        <w:rPr>
          <w:rFonts w:hint="default" w:ascii="等线" w:hAnsi="等线" w:eastAsia="等线" w:cs="等线"/>
          <w:i w:val="0"/>
          <w:iCs w:val="0"/>
          <w:caps w:val="0"/>
          <w:color w:val="000000"/>
          <w:spacing w:val="0"/>
          <w:sz w:val="28"/>
          <w:szCs w:val="28"/>
          <w:bdr w:val="none" w:color="auto" w:sz="0" w:space="0"/>
          <w:shd w:val="clear" w:fill="FFFFFF"/>
        </w:rPr>
        <w:t>报考岗位：                            序号：</w:t>
      </w:r>
    </w:p>
    <w:tbl>
      <w:tblPr>
        <w:tblW w:w="9840" w:type="dxa"/>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422"/>
        <w:gridCol w:w="1407"/>
        <w:gridCol w:w="1288"/>
        <w:gridCol w:w="898"/>
        <w:gridCol w:w="945"/>
        <w:gridCol w:w="314"/>
        <w:gridCol w:w="764"/>
        <w:gridCol w:w="1379"/>
        <w:gridCol w:w="142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30" w:hRule="atLeast"/>
          <w:tblCellSpacing w:w="0" w:type="dxa"/>
          <w:jc w:val="center"/>
        </w:trPr>
        <w:tc>
          <w:tcPr>
            <w:tcW w:w="142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等线" w:hAnsi="等线" w:eastAsia="等线" w:cs="等线"/>
                <w:sz w:val="24"/>
                <w:szCs w:val="24"/>
                <w:bdr w:val="none" w:color="auto" w:sz="0" w:space="0"/>
              </w:rPr>
              <w:t>姓名</w:t>
            </w:r>
          </w:p>
        </w:tc>
        <w:tc>
          <w:tcPr>
            <w:tcW w:w="141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29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等线" w:hAnsi="等线" w:eastAsia="等线" w:cs="等线"/>
                <w:sz w:val="24"/>
                <w:szCs w:val="24"/>
                <w:bdr w:val="none" w:color="auto" w:sz="0" w:space="0"/>
              </w:rPr>
              <w:t>性别</w:t>
            </w:r>
          </w:p>
        </w:tc>
        <w:tc>
          <w:tcPr>
            <w:tcW w:w="88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94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等线" w:hAnsi="等线" w:eastAsia="等线" w:cs="等线"/>
                <w:sz w:val="24"/>
                <w:szCs w:val="24"/>
                <w:bdr w:val="none" w:color="auto" w:sz="0" w:space="0"/>
              </w:rPr>
              <w:t>籍贯</w:t>
            </w:r>
          </w:p>
        </w:tc>
        <w:tc>
          <w:tcPr>
            <w:tcW w:w="1065" w:type="dxa"/>
            <w:gridSpan w:val="2"/>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38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等线" w:hAnsi="等线" w:eastAsia="等线" w:cs="等线"/>
                <w:sz w:val="24"/>
                <w:szCs w:val="24"/>
                <w:bdr w:val="none" w:color="auto" w:sz="0" w:space="0"/>
              </w:rPr>
              <w:t>出生年月</w:t>
            </w:r>
          </w:p>
        </w:tc>
        <w:tc>
          <w:tcPr>
            <w:tcW w:w="142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065" w:hRule="atLeast"/>
          <w:tblCellSpacing w:w="0" w:type="dxa"/>
          <w:jc w:val="center"/>
        </w:trPr>
        <w:tc>
          <w:tcPr>
            <w:tcW w:w="142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等线" w:hAnsi="等线" w:eastAsia="等线" w:cs="等线"/>
                <w:sz w:val="24"/>
                <w:szCs w:val="24"/>
                <w:bdr w:val="none" w:color="auto" w:sz="0" w:space="0"/>
              </w:rPr>
              <w:t>毕业时间</w:t>
            </w:r>
          </w:p>
        </w:tc>
        <w:tc>
          <w:tcPr>
            <w:tcW w:w="141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2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等线" w:hAnsi="等线" w:eastAsia="等线" w:cs="等线"/>
                <w:sz w:val="24"/>
                <w:szCs w:val="24"/>
                <w:bdr w:val="none" w:color="auto" w:sz="0" w:space="0"/>
              </w:rPr>
              <w:t>毕业院校及专业</w:t>
            </w:r>
          </w:p>
        </w:tc>
        <w:tc>
          <w:tcPr>
            <w:tcW w:w="2895" w:type="dxa"/>
            <w:gridSpan w:val="4"/>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38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等线" w:hAnsi="等线" w:eastAsia="等线" w:cs="等线"/>
                <w:sz w:val="24"/>
                <w:szCs w:val="24"/>
                <w:bdr w:val="none" w:color="auto" w:sz="0" w:space="0"/>
              </w:rPr>
              <w:t>学历</w:t>
            </w:r>
          </w:p>
        </w:tc>
        <w:tc>
          <w:tcPr>
            <w:tcW w:w="14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065" w:hRule="atLeast"/>
          <w:tblCellSpacing w:w="0" w:type="dxa"/>
          <w:jc w:val="center"/>
        </w:trPr>
        <w:tc>
          <w:tcPr>
            <w:tcW w:w="142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等线" w:hAnsi="等线" w:eastAsia="等线" w:cs="等线"/>
                <w:sz w:val="24"/>
                <w:szCs w:val="24"/>
                <w:bdr w:val="none" w:color="auto" w:sz="0" w:space="0"/>
              </w:rPr>
              <w:t>综合成绩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等线" w:hAnsi="等线" w:eastAsia="等线" w:cs="等线"/>
                <w:sz w:val="24"/>
                <w:szCs w:val="24"/>
                <w:bdr w:val="none" w:color="auto" w:sz="0" w:space="0"/>
              </w:rPr>
              <w:t>及排名比例</w:t>
            </w:r>
          </w:p>
        </w:tc>
        <w:tc>
          <w:tcPr>
            <w:tcW w:w="141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2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等线" w:hAnsi="等线" w:eastAsia="等线" w:cs="等线"/>
                <w:sz w:val="24"/>
                <w:szCs w:val="24"/>
                <w:bdr w:val="none" w:color="auto" w:sz="0" w:space="0"/>
              </w:rPr>
              <w:t>高考成绩</w:t>
            </w:r>
          </w:p>
        </w:tc>
        <w:tc>
          <w:tcPr>
            <w:tcW w:w="88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260" w:type="dxa"/>
            <w:gridSpan w:val="2"/>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等线" w:hAnsi="等线" w:eastAsia="等线" w:cs="等线"/>
                <w:sz w:val="24"/>
                <w:szCs w:val="24"/>
                <w:bdr w:val="none" w:color="auto" w:sz="0" w:space="0"/>
              </w:rPr>
              <w:t>是  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等线" w:hAnsi="等线" w:eastAsia="等线" w:cs="等线"/>
                <w:sz w:val="24"/>
                <w:szCs w:val="24"/>
                <w:bdr w:val="none" w:color="auto" w:sz="0" w:space="0"/>
              </w:rPr>
              <w:t>师范类</w:t>
            </w:r>
          </w:p>
        </w:tc>
        <w:tc>
          <w:tcPr>
            <w:tcW w:w="7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等线" w:hAnsi="等线" w:eastAsia="等线" w:cs="等线"/>
                <w:sz w:val="24"/>
                <w:szCs w:val="24"/>
                <w:bdr w:val="none" w:color="auto" w:sz="0" w:space="0"/>
              </w:rPr>
              <w:t>□是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等线" w:hAnsi="等线" w:eastAsia="等线" w:cs="等线"/>
                <w:sz w:val="24"/>
                <w:szCs w:val="24"/>
                <w:bdr w:val="none" w:color="auto" w:sz="0" w:space="0"/>
              </w:rPr>
              <w:t>□否</w:t>
            </w:r>
          </w:p>
        </w:tc>
        <w:tc>
          <w:tcPr>
            <w:tcW w:w="138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等线" w:hAnsi="等线" w:eastAsia="等线" w:cs="等线"/>
                <w:sz w:val="24"/>
                <w:szCs w:val="24"/>
                <w:bdr w:val="none" w:color="auto" w:sz="0" w:space="0"/>
              </w:rPr>
              <w:t>是    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等线" w:hAnsi="等线" w:eastAsia="等线" w:cs="等线"/>
                <w:sz w:val="24"/>
                <w:szCs w:val="24"/>
                <w:bdr w:val="none" w:color="auto" w:sz="0" w:space="0"/>
              </w:rPr>
              <w:t>受过处分</w:t>
            </w:r>
          </w:p>
        </w:tc>
        <w:tc>
          <w:tcPr>
            <w:tcW w:w="142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等线" w:hAnsi="等线" w:eastAsia="等线" w:cs="等线"/>
                <w:sz w:val="24"/>
                <w:szCs w:val="24"/>
                <w:bdr w:val="none" w:color="auto" w:sz="0" w:space="0"/>
              </w:rPr>
              <w:t>□是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等线" w:hAnsi="等线" w:eastAsia="等线" w:cs="等线"/>
                <w:sz w:val="24"/>
                <w:szCs w:val="24"/>
                <w:bdr w:val="none" w:color="auto" w:sz="0" w:space="0"/>
              </w:rPr>
              <w:t>□否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blCellSpacing w:w="0" w:type="dxa"/>
          <w:jc w:val="center"/>
        </w:trPr>
        <w:tc>
          <w:tcPr>
            <w:tcW w:w="1425" w:type="dxa"/>
            <w:vMerge w:val="restar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等线" w:hAnsi="等线" w:eastAsia="等线" w:cs="等线"/>
                <w:sz w:val="24"/>
                <w:szCs w:val="24"/>
                <w:bdr w:val="none" w:color="auto" w:sz="0" w:space="0"/>
              </w:rPr>
              <w:t>家庭住址</w:t>
            </w:r>
          </w:p>
        </w:tc>
        <w:tc>
          <w:tcPr>
            <w:tcW w:w="3600" w:type="dxa"/>
            <w:gridSpan w:val="3"/>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260" w:type="dxa"/>
            <w:gridSpan w:val="2"/>
            <w:vMerge w:val="restart"/>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等线" w:hAnsi="等线" w:eastAsia="等线" w:cs="等线"/>
                <w:sz w:val="24"/>
                <w:szCs w:val="24"/>
                <w:bdr w:val="none" w:color="auto" w:sz="0" w:space="0"/>
              </w:rPr>
              <w:t>联系电话</w:t>
            </w:r>
          </w:p>
        </w:tc>
        <w:tc>
          <w:tcPr>
            <w:tcW w:w="3570" w:type="dxa"/>
            <w:gridSpan w:val="3"/>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rFonts w:hint="default" w:ascii="等线" w:hAnsi="等线" w:eastAsia="等线" w:cs="等线"/>
                <w:sz w:val="24"/>
                <w:szCs w:val="24"/>
                <w:bdr w:val="none" w:color="auto" w:sz="0" w:space="0"/>
              </w:rPr>
              <w:t>住宅电话：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0" w:type="dxa"/>
          <w:jc w:val="center"/>
        </w:trPr>
        <w:tc>
          <w:tcPr>
            <w:tcW w:w="1425"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3600" w:type="dxa"/>
            <w:gridSpan w:val="3"/>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60" w:type="dxa"/>
            <w:gridSpan w:val="2"/>
            <w:vMerge w:val="continue"/>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3570" w:type="dxa"/>
            <w:gridSpan w:val="3"/>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rFonts w:hint="default" w:ascii="等线" w:hAnsi="等线" w:eastAsia="等线" w:cs="等线"/>
                <w:sz w:val="24"/>
                <w:szCs w:val="24"/>
                <w:bdr w:val="none" w:color="auto" w:sz="0" w:space="0"/>
              </w:rPr>
              <w:t>手机：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90" w:hRule="atLeast"/>
          <w:tblCellSpacing w:w="0" w:type="dxa"/>
          <w:jc w:val="center"/>
        </w:trPr>
        <w:tc>
          <w:tcPr>
            <w:tcW w:w="142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等线" w:hAnsi="等线" w:eastAsia="等线" w:cs="等线"/>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等线" w:hAnsi="等线" w:eastAsia="等线" w:cs="等线"/>
                <w:sz w:val="24"/>
                <w:szCs w:val="24"/>
                <w:bdr w:val="none" w:color="auto" w:sz="0" w:space="0"/>
              </w:rPr>
              <w:t>学习简历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等线" w:hAnsi="等线" w:eastAsia="等线" w:cs="等线"/>
                <w:sz w:val="24"/>
                <w:szCs w:val="24"/>
                <w:bdr w:val="none" w:color="auto" w:sz="0" w:space="0"/>
              </w:rPr>
              <w:t> </w:t>
            </w:r>
          </w:p>
        </w:tc>
        <w:tc>
          <w:tcPr>
            <w:tcW w:w="8415" w:type="dxa"/>
            <w:gridSpan w:val="8"/>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275" w:hRule="atLeast"/>
          <w:tblCellSpacing w:w="0" w:type="dxa"/>
          <w:jc w:val="center"/>
        </w:trPr>
        <w:tc>
          <w:tcPr>
            <w:tcW w:w="142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等线" w:hAnsi="等线" w:eastAsia="等线" w:cs="等线"/>
                <w:sz w:val="24"/>
                <w:szCs w:val="24"/>
                <w:bdr w:val="none" w:color="auto" w:sz="0" w:space="0"/>
              </w:rPr>
              <w:t>主要荣誉 及特长</w:t>
            </w:r>
          </w:p>
        </w:tc>
        <w:tc>
          <w:tcPr>
            <w:tcW w:w="8415" w:type="dxa"/>
            <w:gridSpan w:val="8"/>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590" w:hRule="atLeast"/>
          <w:tblCellSpacing w:w="0" w:type="dxa"/>
          <w:jc w:val="center"/>
        </w:trPr>
        <w:tc>
          <w:tcPr>
            <w:tcW w:w="142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等线" w:hAnsi="等线" w:eastAsia="等线" w:cs="等线"/>
                <w:sz w:val="24"/>
                <w:szCs w:val="24"/>
                <w:bdr w:val="none" w:color="auto" w:sz="0" w:space="0"/>
              </w:rPr>
              <w:t>本人承诺</w:t>
            </w:r>
          </w:p>
        </w:tc>
        <w:tc>
          <w:tcPr>
            <w:tcW w:w="8415" w:type="dxa"/>
            <w:gridSpan w:val="8"/>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rFonts w:ascii="华文行楷" w:hAnsi="华文行楷" w:eastAsia="华文行楷" w:cs="华文行楷"/>
                <w:sz w:val="36"/>
                <w:szCs w:val="36"/>
                <w:bdr w:val="none" w:color="auto" w:sz="0" w:space="0"/>
              </w:rPr>
              <w:t>如所填内容与事实不符，一切后果自负。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65"/>
              <w:rPr>
                <w:sz w:val="21"/>
                <w:szCs w:val="21"/>
              </w:rPr>
            </w:pPr>
            <w:r>
              <w:rPr>
                <w:rFonts w:hint="default" w:ascii="等线" w:hAnsi="等线" w:eastAsia="等线" w:cs="等线"/>
                <w:sz w:val="24"/>
                <w:szCs w:val="24"/>
                <w:bdr w:val="none" w:color="auto" w:sz="0" w:space="0"/>
              </w:rPr>
              <w:t>                            承诺人（签名）：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等线" w:hAnsi="等线" w:eastAsia="等线" w:cs="等线"/>
                <w:sz w:val="24"/>
                <w:szCs w:val="24"/>
                <w:bdr w:val="none" w:color="auto" w:sz="0" w:space="0"/>
              </w:rPr>
              <w:t>                20    年    月    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05" w:hRule="atLeast"/>
          <w:tblCellSpacing w:w="0" w:type="dxa"/>
          <w:jc w:val="center"/>
        </w:trPr>
        <w:tc>
          <w:tcPr>
            <w:tcW w:w="142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等线" w:hAnsi="等线" w:eastAsia="等线" w:cs="等线"/>
                <w:sz w:val="24"/>
                <w:szCs w:val="24"/>
                <w:bdr w:val="none" w:color="auto" w:sz="0" w:space="0"/>
              </w:rPr>
              <w:t>审核意见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等线" w:hAnsi="等线" w:eastAsia="等线" w:cs="等线"/>
                <w:sz w:val="24"/>
                <w:szCs w:val="24"/>
                <w:bdr w:val="none" w:color="auto" w:sz="0" w:space="0"/>
              </w:rPr>
              <w:t>及签名</w:t>
            </w:r>
          </w:p>
        </w:tc>
        <w:tc>
          <w:tcPr>
            <w:tcW w:w="8415" w:type="dxa"/>
            <w:gridSpan w:val="8"/>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20"/>
              <w:rPr>
                <w:sz w:val="21"/>
                <w:szCs w:val="21"/>
              </w:rPr>
            </w:pPr>
            <w:r>
              <w:rPr>
                <w:rFonts w:hint="default" w:ascii="华文行楷" w:hAnsi="华文行楷" w:eastAsia="华文行楷" w:cs="华文行楷"/>
                <w:sz w:val="36"/>
                <w:szCs w:val="36"/>
                <w:bdr w:val="none" w:color="auto" w:sz="0" w:space="0"/>
              </w:rPr>
              <w:t>符合条件，同意该应聘人员参加 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等线" w:hAnsi="等线" w:eastAsia="等线" w:cs="等线"/>
                <w:sz w:val="24"/>
                <w:szCs w:val="24"/>
                <w:bdr w:val="none" w:color="auto" w:sz="0" w:space="0"/>
              </w:rPr>
              <w:t>   审核人：</w:t>
            </w:r>
          </w:p>
        </w:tc>
      </w:tr>
    </w:tbl>
    <w:p>
      <w:pPr>
        <w:rPr>
          <w:rFonts w:hint="eastAsia" w:ascii="微软雅黑" w:hAnsi="微软雅黑" w:eastAsia="微软雅黑" w:cs="微软雅黑"/>
          <w:i w:val="0"/>
          <w:iCs w:val="0"/>
          <w:caps w:val="0"/>
          <w:color w:val="015293"/>
          <w:spacing w:val="0"/>
          <w:sz w:val="45"/>
          <w:szCs w:val="45"/>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行楷">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6B2A7AB8"/>
    <w:rsid w:val="6B2A7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hyperlink" Target="https://www.qingtian.gov.cn/picture/0/8bcd427e9e4d48aa82c001422762c3fc.png" TargetMode="External"/><Relationship Id="rId5" Type="http://schemas.openxmlformats.org/officeDocument/2006/relationships/image" Target="media/image1.png"/><Relationship Id="rId4" Type="http://schemas.openxmlformats.org/officeDocument/2006/relationships/hyperlink" Target="https://www.qingtian.gov.cn/picture/0/3ede67be84d947549dd508231a69eacb.png"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2023-04-06T00:27:00Z</dcterms:created>
  <dc:creator>Administrator</dc:creator>
  <cp:lastModifiedBy>Administrator</cp:lastModifiedBy>
  <dcterms:modified xsi:type="dcterms:W3CDTF">2023-04-06T06:13:36Z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269540C73B824F4298E9337EB098652C</vt:lpwstr>
  </property>
</Properties>
</file>