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cs="宋体"/>
          <w:color w:val="000000"/>
          <w:kern w:val="0"/>
          <w:sz w:val="24"/>
          <w:szCs w:val="22"/>
        </w:rPr>
      </w:pPr>
      <w:r>
        <w:rPr>
          <w:rFonts w:hint="eastAsia" w:ascii="宋体" w:hAnsi="宋体" w:eastAsia="宋体" w:cs="宋体"/>
          <w:b/>
          <w:bCs/>
          <w:color w:val="000000"/>
          <w:kern w:val="0"/>
          <w:sz w:val="24"/>
          <w:szCs w:val="22"/>
          <w:lang w:val="en-US" w:eastAsia="zh-CN"/>
        </w:rPr>
        <w:t xml:space="preserve">附件： </w:t>
      </w:r>
      <w:r>
        <w:rPr>
          <w:rFonts w:hint="eastAsia" w:ascii="宋体" w:hAnsi="宋体" w:eastAsia="宋体" w:cs="宋体"/>
          <w:color w:val="000000"/>
          <w:kern w:val="0"/>
          <w:sz w:val="24"/>
          <w:szCs w:val="22"/>
          <w:lang w:val="en-US" w:eastAsia="zh-CN"/>
        </w:rPr>
        <w:t xml:space="preserve">                               </w:t>
      </w:r>
      <w:r>
        <w:rPr>
          <w:rFonts w:hint="eastAsia" w:ascii="宋体" w:hAnsi="宋体" w:eastAsia="宋体" w:cs="宋体"/>
          <w:b/>
          <w:bCs/>
          <w:color w:val="000000"/>
          <w:kern w:val="0"/>
          <w:sz w:val="24"/>
          <w:szCs w:val="22"/>
          <w:lang w:val="en-US" w:eastAsia="zh-CN"/>
        </w:rPr>
        <w:t xml:space="preserve"> 2023年</w:t>
      </w:r>
      <w:r>
        <w:rPr>
          <w:rFonts w:hint="eastAsia" w:ascii="宋体" w:hAnsi="宋体" w:eastAsia="宋体" w:cs="宋体"/>
          <w:b/>
          <w:bCs/>
          <w:color w:val="000000"/>
          <w:kern w:val="0"/>
          <w:sz w:val="24"/>
          <w:szCs w:val="22"/>
        </w:rPr>
        <w:t>杭州萧山技师学院</w:t>
      </w:r>
      <w:r>
        <w:rPr>
          <w:rFonts w:hint="eastAsia" w:ascii="宋体" w:hAnsi="宋体" w:eastAsia="宋体" w:cs="宋体"/>
          <w:b/>
          <w:bCs/>
          <w:color w:val="000000"/>
          <w:kern w:val="0"/>
          <w:sz w:val="24"/>
          <w:szCs w:val="22"/>
          <w:lang w:val="en-US" w:eastAsia="zh-CN"/>
        </w:rPr>
        <w:t>合同制教师</w:t>
      </w:r>
      <w:r>
        <w:rPr>
          <w:rFonts w:hint="eastAsia" w:ascii="宋体" w:hAnsi="宋体" w:eastAsia="宋体" w:cs="宋体"/>
          <w:b/>
          <w:bCs/>
          <w:color w:val="000000"/>
          <w:kern w:val="0"/>
          <w:sz w:val="24"/>
          <w:szCs w:val="22"/>
        </w:rPr>
        <w:t>招聘计划表</w:t>
      </w:r>
    </w:p>
    <w:tbl>
      <w:tblPr>
        <w:tblStyle w:val="5"/>
        <w:tblW w:w="50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9"/>
        <w:gridCol w:w="659"/>
        <w:gridCol w:w="765"/>
        <w:gridCol w:w="915"/>
        <w:gridCol w:w="4573"/>
        <w:gridCol w:w="1875"/>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28"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rPr>
                <w:rFonts w:hint="default" w:ascii="仿宋" w:hAnsi="仿宋" w:eastAsia="仿宋" w:cs="仿宋"/>
                <w:b/>
                <w:bCs/>
                <w:sz w:val="21"/>
                <w:szCs w:val="21"/>
                <w:lang w:val="en-US" w:eastAsia="zh-CN"/>
              </w:rPr>
            </w:pPr>
          </w:p>
        </w:tc>
        <w:tc>
          <w:tcPr>
            <w:tcW w:w="228"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both"/>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岗位</w:t>
            </w:r>
          </w:p>
        </w:tc>
        <w:tc>
          <w:tcPr>
            <w:tcW w:w="265"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eastAsia="仿宋" w:cs="仿宋"/>
                <w:b/>
                <w:bCs/>
                <w:sz w:val="21"/>
                <w:szCs w:val="21"/>
                <w:lang w:eastAsia="zh-CN"/>
              </w:rPr>
            </w:pPr>
            <w:r>
              <w:rPr>
                <w:rFonts w:hint="eastAsia" w:ascii="仿宋" w:hAnsi="仿宋" w:eastAsia="仿宋" w:cs="仿宋"/>
                <w:b/>
                <w:bCs/>
                <w:sz w:val="21"/>
                <w:szCs w:val="21"/>
                <w:lang w:val="en-US" w:eastAsia="zh-CN"/>
              </w:rPr>
              <w:t>专业</w:t>
            </w:r>
          </w:p>
        </w:tc>
        <w:tc>
          <w:tcPr>
            <w:tcW w:w="317"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 w:val="21"/>
                <w:szCs w:val="21"/>
              </w:rPr>
              <w:t>人数</w:t>
            </w:r>
          </w:p>
        </w:tc>
        <w:tc>
          <w:tcPr>
            <w:tcW w:w="1587"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b/>
                <w:bCs/>
                <w:kern w:val="2"/>
                <w:sz w:val="21"/>
                <w:szCs w:val="21"/>
                <w:lang w:val="en-US" w:eastAsia="zh-CN" w:bidi="ar-SA"/>
              </w:rPr>
            </w:pPr>
            <w:r>
              <w:rPr>
                <w:rFonts w:hint="eastAsia" w:ascii="仿宋" w:hAnsi="仿宋" w:eastAsia="仿宋" w:cs="仿宋"/>
                <w:b/>
                <w:bCs/>
                <w:sz w:val="21"/>
                <w:szCs w:val="21"/>
              </w:rPr>
              <w:t>专业要求</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学历要求</w:t>
            </w:r>
          </w:p>
        </w:tc>
        <w:tc>
          <w:tcPr>
            <w:tcW w:w="1721" w:type="pct"/>
            <w:noWrap w:val="0"/>
            <w:vAlign w:val="top"/>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rPr>
                <w:rFonts w:hint="eastAsia" w:ascii="仿宋" w:hAnsi="仿宋" w:eastAsia="仿宋" w:cs="仿宋"/>
                <w:b/>
                <w:bCs/>
                <w:sz w:val="21"/>
                <w:szCs w:val="21"/>
              </w:rPr>
            </w:pPr>
            <w:r>
              <w:rPr>
                <w:rFonts w:hint="eastAsia" w:ascii="仿宋" w:hAnsi="仿宋" w:eastAsia="仿宋" w:cs="仿宋"/>
                <w:b/>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2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01岗</w:t>
            </w:r>
          </w:p>
        </w:tc>
        <w:tc>
          <w:tcPr>
            <w:tcW w:w="228"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基础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文化教师</w:t>
            </w:r>
          </w:p>
        </w:tc>
        <w:tc>
          <w:tcPr>
            <w:tcW w:w="265"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语文</w:t>
            </w:r>
          </w:p>
        </w:tc>
        <w:tc>
          <w:tcPr>
            <w:tcW w:w="317"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587" w:type="pct"/>
            <w:noWrap w:val="0"/>
            <w:vAlign w:val="center"/>
          </w:tcPr>
          <w:p>
            <w:pPr>
              <w:keepNext w:val="0"/>
              <w:keepLines w:val="0"/>
              <w:pageBreakBefore w:val="0"/>
              <w:suppressLineNumbers w:val="0"/>
              <w:tabs>
                <w:tab w:val="left" w:pos="412"/>
                <w:tab w:val="center" w:pos="1167"/>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lang w:val="en-US" w:eastAsia="zh-CN" w:bidi="ar-SA"/>
              </w:rPr>
              <w:t>汉语言文学相关专业</w:t>
            </w:r>
          </w:p>
        </w:tc>
        <w:tc>
          <w:tcPr>
            <w:tcW w:w="650" w:type="pct"/>
            <w:vMerge w:val="restart"/>
            <w:noWrap w:val="0"/>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硕士研究生及以上</w:t>
            </w:r>
          </w:p>
        </w:tc>
        <w:tc>
          <w:tcPr>
            <w:tcW w:w="1721"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具有</w:t>
            </w:r>
            <w:r>
              <w:rPr>
                <w:rFonts w:hint="eastAsia" w:ascii="仿宋" w:hAnsi="仿宋" w:eastAsia="仿宋" w:cs="仿宋"/>
                <w:sz w:val="21"/>
                <w:szCs w:val="21"/>
              </w:rPr>
              <w:t>高中语文教师资格证及以上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22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auto"/>
                <w:kern w:val="2"/>
                <w:sz w:val="21"/>
                <w:szCs w:val="21"/>
                <w:lang w:val="en-US" w:eastAsia="zh-CN" w:bidi="ar-SA"/>
              </w:rPr>
            </w:pPr>
          </w:p>
        </w:tc>
        <w:tc>
          <w:tcPr>
            <w:tcW w:w="22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auto"/>
                <w:kern w:val="2"/>
                <w:sz w:val="21"/>
                <w:szCs w:val="21"/>
                <w:lang w:val="en-US" w:eastAsia="zh-CN" w:bidi="ar-SA"/>
              </w:rPr>
            </w:pPr>
          </w:p>
        </w:tc>
        <w:tc>
          <w:tcPr>
            <w:tcW w:w="265"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数学</w:t>
            </w:r>
          </w:p>
        </w:tc>
        <w:tc>
          <w:tcPr>
            <w:tcW w:w="317"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587" w:type="pct"/>
            <w:noWrap w:val="0"/>
            <w:vAlign w:val="center"/>
          </w:tcPr>
          <w:p>
            <w:pPr>
              <w:keepNext w:val="0"/>
              <w:keepLines w:val="0"/>
              <w:pageBreakBefore w:val="0"/>
              <w:suppressLineNumbers w:val="0"/>
              <w:tabs>
                <w:tab w:val="left" w:pos="412"/>
                <w:tab w:val="center" w:pos="1167"/>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color w:val="auto"/>
                <w:kern w:val="2"/>
                <w:sz w:val="21"/>
                <w:szCs w:val="21"/>
                <w:lang w:val="en-US" w:eastAsia="zh-CN" w:bidi="ar-SA"/>
              </w:rPr>
              <w:t>数学相关专业</w:t>
            </w:r>
          </w:p>
        </w:tc>
        <w:tc>
          <w:tcPr>
            <w:tcW w:w="650" w:type="pct"/>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p>
        </w:tc>
        <w:tc>
          <w:tcPr>
            <w:tcW w:w="1721"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rPr>
                <w:rFonts w:hint="eastAsia" w:ascii="仿宋" w:hAnsi="仿宋" w:eastAsia="仿宋" w:cs="仿宋"/>
                <w:kern w:val="2"/>
                <w:sz w:val="21"/>
                <w:szCs w:val="21"/>
                <w:lang w:val="en-US" w:eastAsia="zh-CN" w:bidi="ar-SA"/>
              </w:rPr>
            </w:pPr>
            <w:r>
              <w:rPr>
                <w:rFonts w:hint="eastAsia" w:ascii="仿宋" w:hAnsi="仿宋" w:eastAsia="仿宋" w:cs="仿宋"/>
                <w:sz w:val="21"/>
                <w:szCs w:val="21"/>
                <w:lang w:val="en-US" w:eastAsia="zh-CN"/>
              </w:rPr>
              <w:t>具有</w:t>
            </w:r>
            <w:r>
              <w:rPr>
                <w:rFonts w:hint="eastAsia" w:ascii="仿宋" w:hAnsi="仿宋" w:eastAsia="仿宋" w:cs="仿宋"/>
                <w:sz w:val="21"/>
                <w:szCs w:val="21"/>
              </w:rPr>
              <w:t>高中</w:t>
            </w:r>
            <w:r>
              <w:rPr>
                <w:rFonts w:hint="eastAsia" w:ascii="仿宋" w:hAnsi="仿宋" w:eastAsia="仿宋" w:cs="仿宋"/>
                <w:sz w:val="21"/>
                <w:szCs w:val="21"/>
                <w:lang w:val="en-US" w:eastAsia="zh-CN"/>
              </w:rPr>
              <w:t>数学</w:t>
            </w:r>
            <w:r>
              <w:rPr>
                <w:rFonts w:hint="eastAsia" w:ascii="仿宋" w:hAnsi="仿宋" w:eastAsia="仿宋" w:cs="仿宋"/>
                <w:sz w:val="21"/>
                <w:szCs w:val="21"/>
              </w:rPr>
              <w:t>教师资格证及以上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auto"/>
                <w:kern w:val="2"/>
                <w:sz w:val="21"/>
                <w:szCs w:val="21"/>
                <w:lang w:val="en-US" w:eastAsia="zh-CN" w:bidi="ar-SA"/>
              </w:rPr>
            </w:pPr>
          </w:p>
        </w:tc>
        <w:tc>
          <w:tcPr>
            <w:tcW w:w="22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center"/>
              <w:rPr>
                <w:rFonts w:hint="eastAsia" w:ascii="仿宋" w:hAnsi="仿宋" w:eastAsia="仿宋" w:cs="仿宋"/>
                <w:color w:val="auto"/>
                <w:kern w:val="2"/>
                <w:sz w:val="21"/>
                <w:szCs w:val="21"/>
                <w:lang w:val="en-US" w:eastAsia="zh-CN" w:bidi="ar-SA"/>
              </w:rPr>
            </w:pPr>
          </w:p>
        </w:tc>
        <w:tc>
          <w:tcPr>
            <w:tcW w:w="265"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思政</w:t>
            </w:r>
          </w:p>
        </w:tc>
        <w:tc>
          <w:tcPr>
            <w:tcW w:w="317"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5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思想政治教育、政治学、政治学与行政学、国际政治等思政专业</w:t>
            </w:r>
          </w:p>
        </w:tc>
        <w:tc>
          <w:tcPr>
            <w:tcW w:w="650" w:type="pct"/>
            <w:vMerge w:val="continue"/>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p>
        </w:tc>
        <w:tc>
          <w:tcPr>
            <w:tcW w:w="1721"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具有</w:t>
            </w:r>
            <w:r>
              <w:rPr>
                <w:rFonts w:hint="eastAsia" w:ascii="仿宋" w:hAnsi="仿宋" w:eastAsia="仿宋" w:cs="仿宋"/>
                <w:sz w:val="21"/>
                <w:szCs w:val="21"/>
              </w:rPr>
              <w:t>高中</w:t>
            </w:r>
            <w:r>
              <w:rPr>
                <w:rFonts w:hint="eastAsia" w:ascii="仿宋" w:hAnsi="仿宋" w:eastAsia="仿宋" w:cs="仿宋"/>
                <w:sz w:val="21"/>
                <w:szCs w:val="21"/>
                <w:lang w:val="en-US" w:eastAsia="zh-CN"/>
              </w:rPr>
              <w:t>思政</w:t>
            </w:r>
            <w:r>
              <w:rPr>
                <w:rFonts w:hint="eastAsia" w:ascii="仿宋" w:hAnsi="仿宋" w:eastAsia="仿宋" w:cs="仿宋"/>
                <w:sz w:val="21"/>
                <w:szCs w:val="21"/>
              </w:rPr>
              <w:t>教师资格证及以上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22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21"/>
                <w:szCs w:val="21"/>
                <w:lang w:val="en-US" w:eastAsia="zh-CN" w:bidi="ar-SA"/>
              </w:rPr>
            </w:pPr>
          </w:p>
        </w:tc>
        <w:tc>
          <w:tcPr>
            <w:tcW w:w="22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专业理论教师</w:t>
            </w:r>
          </w:p>
        </w:tc>
        <w:tc>
          <w:tcPr>
            <w:tcW w:w="265" w:type="pct"/>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000000"/>
                <w:sz w:val="21"/>
                <w:szCs w:val="21"/>
                <w:lang w:val="en-US" w:eastAsia="zh-CN"/>
              </w:rPr>
              <w:t>信息技术</w:t>
            </w:r>
          </w:p>
        </w:tc>
        <w:tc>
          <w:tcPr>
            <w:tcW w:w="317" w:type="pct"/>
            <w:noWrap w:val="0"/>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eastAsia="zh-CN" w:bidi="ar-SA"/>
              </w:rPr>
              <w:t>2</w:t>
            </w:r>
          </w:p>
        </w:tc>
        <w:tc>
          <w:tcPr>
            <w:tcW w:w="15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电子科学与技术、计算机科学与技术、信息与通信工程、软件工程、网络空间安全，应用计算科学与工程</w:t>
            </w:r>
          </w:p>
        </w:tc>
        <w:tc>
          <w:tcPr>
            <w:tcW w:w="650" w:type="pct"/>
            <w:vMerge w:val="continue"/>
            <w:noWrap w:val="0"/>
            <w:vAlign w:val="center"/>
          </w:tcPr>
          <w:p>
            <w:pPr>
              <w:keepNext w:val="0"/>
              <w:keepLines w:val="0"/>
              <w:suppressLineNumbers w:val="0"/>
              <w:spacing w:before="0" w:beforeAutospacing="0" w:after="0" w:afterAutospacing="0" w:line="320" w:lineRule="exact"/>
              <w:ind w:left="0" w:leftChars="0" w:right="0" w:rightChars="0"/>
              <w:jc w:val="center"/>
              <w:rPr>
                <w:rFonts w:hint="eastAsia" w:ascii="仿宋" w:hAnsi="仿宋" w:eastAsia="仿宋" w:cs="仿宋"/>
                <w:i w:val="0"/>
                <w:iCs w:val="0"/>
                <w:color w:val="000000"/>
                <w:kern w:val="0"/>
                <w:sz w:val="21"/>
                <w:szCs w:val="21"/>
                <w:u w:val="none"/>
                <w:lang w:val="en-US" w:eastAsia="zh-CN" w:bidi="ar"/>
              </w:rPr>
            </w:pPr>
          </w:p>
        </w:tc>
        <w:tc>
          <w:tcPr>
            <w:tcW w:w="1721"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rPr>
                <w:rFonts w:hint="eastAsia" w:ascii="仿宋" w:hAnsi="仿宋" w:eastAsia="仿宋" w:cs="仿宋"/>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22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02岗</w:t>
            </w:r>
          </w:p>
        </w:tc>
        <w:tc>
          <w:tcPr>
            <w:tcW w:w="228" w:type="pct"/>
            <w:vMerge w:val="restart"/>
            <w:noWrap w:val="0"/>
            <w:vAlign w:val="center"/>
          </w:tcPr>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理</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体</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师</w:t>
            </w:r>
          </w:p>
        </w:tc>
        <w:tc>
          <w:tcPr>
            <w:tcW w:w="265" w:type="pct"/>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电子</w:t>
            </w:r>
          </w:p>
        </w:tc>
        <w:tc>
          <w:tcPr>
            <w:tcW w:w="317" w:type="pct"/>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2</w:t>
            </w:r>
          </w:p>
        </w:tc>
        <w:tc>
          <w:tcPr>
            <w:tcW w:w="15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自动化、电气自动化设备安装与维修、工业机器人应用与维护、应用电子技术教育、电气技术教育、电气工程及其自动化</w:t>
            </w:r>
          </w:p>
        </w:tc>
        <w:tc>
          <w:tcPr>
            <w:tcW w:w="650" w:type="pct"/>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技师学院技师</w:t>
            </w:r>
            <w:r>
              <w:rPr>
                <w:rFonts w:hint="eastAsia" w:ascii="仿宋" w:hAnsi="仿宋" w:eastAsia="仿宋" w:cs="仿宋"/>
                <w:sz w:val="21"/>
                <w:szCs w:val="21"/>
              </w:rPr>
              <w:t>毕业</w:t>
            </w:r>
            <w:r>
              <w:rPr>
                <w:rFonts w:hint="eastAsia" w:ascii="仿宋" w:hAnsi="仿宋" w:eastAsia="仿宋" w:cs="仿宋"/>
                <w:color w:val="000000"/>
                <w:sz w:val="21"/>
                <w:szCs w:val="21"/>
                <w:lang w:val="en-US" w:eastAsia="zh-CN"/>
              </w:rPr>
              <w:t>或本科以上</w:t>
            </w:r>
          </w:p>
        </w:tc>
        <w:tc>
          <w:tcPr>
            <w:tcW w:w="1721" w:type="pct"/>
            <w:noWrap w:val="0"/>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000000"/>
                <w:kern w:val="2"/>
                <w:sz w:val="21"/>
                <w:szCs w:val="21"/>
                <w:lang w:val="en-US" w:eastAsia="zh-CN" w:bidi="ar-SA"/>
              </w:rPr>
            </w:pPr>
            <w:r>
              <w:rPr>
                <w:rFonts w:hint="eastAsia" w:ascii="仿宋" w:hAnsi="仿宋" w:eastAsia="仿宋" w:cs="仿宋"/>
                <w:color w:val="000000"/>
                <w:sz w:val="21"/>
                <w:szCs w:val="21"/>
                <w:lang w:val="en-US" w:eastAsia="zh-CN"/>
              </w:rPr>
              <w:t>具有电工、无线电调试工、广电和通信设备调试工等高级工及以上职业资格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228" w:type="pct"/>
            <w:vMerge w:val="continue"/>
            <w:noWrap w:val="0"/>
            <w:vAlign w:val="center"/>
          </w:tcPr>
          <w:p>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2"/>
                <w:sz w:val="21"/>
                <w:szCs w:val="21"/>
                <w:lang w:val="en-US" w:eastAsia="zh-CN" w:bidi="ar-SA"/>
              </w:rPr>
            </w:pPr>
          </w:p>
        </w:tc>
        <w:tc>
          <w:tcPr>
            <w:tcW w:w="228" w:type="pct"/>
            <w:vMerge w:val="continue"/>
            <w:noWrap w:val="0"/>
            <w:vAlign w:val="center"/>
          </w:tcPr>
          <w:p>
            <w:pPr>
              <w:keepNext w:val="0"/>
              <w:keepLines w:val="0"/>
              <w:suppressLineNumbers w:val="0"/>
              <w:spacing w:before="0" w:beforeAutospacing="0" w:after="0" w:afterAutospacing="0" w:line="320" w:lineRule="exact"/>
              <w:ind w:left="0" w:right="0"/>
              <w:jc w:val="center"/>
              <w:rPr>
                <w:rFonts w:hint="eastAsia" w:ascii="仿宋" w:hAnsi="仿宋" w:eastAsia="仿宋" w:cs="仿宋"/>
                <w:color w:val="auto"/>
                <w:kern w:val="2"/>
                <w:sz w:val="21"/>
                <w:szCs w:val="21"/>
                <w:lang w:val="en-US" w:eastAsia="zh-CN" w:bidi="ar-SA"/>
              </w:rPr>
            </w:pPr>
          </w:p>
        </w:tc>
        <w:tc>
          <w:tcPr>
            <w:tcW w:w="265" w:type="pct"/>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000000"/>
                <w:sz w:val="21"/>
                <w:szCs w:val="21"/>
                <w:lang w:val="en-US" w:eastAsia="zh-CN"/>
              </w:rPr>
              <w:t>信息技术</w:t>
            </w:r>
          </w:p>
        </w:tc>
        <w:tc>
          <w:tcPr>
            <w:tcW w:w="317" w:type="pct"/>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0"/>
                <w:sz w:val="21"/>
                <w:szCs w:val="21"/>
                <w:lang w:val="en-US" w:eastAsia="zh-CN" w:bidi="ar"/>
              </w:rPr>
            </w:pPr>
            <w:r>
              <w:rPr>
                <w:rFonts w:hint="eastAsia" w:ascii="仿宋" w:hAnsi="仿宋" w:eastAsia="仿宋" w:cs="仿宋"/>
                <w:color w:val="auto"/>
                <w:kern w:val="0"/>
                <w:sz w:val="21"/>
                <w:szCs w:val="21"/>
                <w:lang w:eastAsia="zh-CN" w:bidi="ar"/>
              </w:rPr>
              <w:t>1</w:t>
            </w:r>
          </w:p>
        </w:tc>
        <w:tc>
          <w:tcPr>
            <w:tcW w:w="1587" w:type="pct"/>
            <w:noWrap w:val="0"/>
            <w:vAlign w:val="center"/>
          </w:tcPr>
          <w:p>
            <w:pPr>
              <w:keepNext w:val="0"/>
              <w:keepLines w:val="0"/>
              <w:suppressLineNumbers w:val="0"/>
              <w:spacing w:before="0" w:beforeAutospacing="0" w:after="0" w:afterAutospacing="0"/>
              <w:ind w:left="0" w:leftChars="0" w:right="0" w:rightChars="0"/>
              <w:jc w:val="left"/>
              <w:rPr>
                <w:rFonts w:hint="eastAsia" w:ascii="仿宋" w:hAnsi="仿宋" w:eastAsia="仿宋" w:cs="仿宋"/>
                <w:color w:val="auto"/>
                <w:kern w:val="2"/>
                <w:sz w:val="21"/>
                <w:szCs w:val="21"/>
                <w:lang w:val="en-US" w:eastAsia="zh-CN" w:bidi="ar-SA"/>
              </w:rPr>
            </w:pPr>
            <w:r>
              <w:rPr>
                <w:rFonts w:hint="eastAsia" w:ascii="仿宋" w:hAnsi="仿宋" w:eastAsia="仿宋" w:cs="仿宋"/>
                <w:color w:val="000000"/>
                <w:sz w:val="21"/>
                <w:szCs w:val="21"/>
                <w:lang w:bidi="ar"/>
              </w:rPr>
              <w:t>电子信息类、计算机类</w:t>
            </w:r>
          </w:p>
        </w:tc>
        <w:tc>
          <w:tcPr>
            <w:tcW w:w="650" w:type="pct"/>
            <w:noWrap w:val="0"/>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本科</w:t>
            </w:r>
            <w:r>
              <w:rPr>
                <w:rFonts w:hint="eastAsia" w:ascii="仿宋" w:hAnsi="仿宋" w:eastAsia="仿宋" w:cs="仿宋"/>
                <w:color w:val="auto"/>
                <w:sz w:val="21"/>
                <w:szCs w:val="21"/>
              </w:rPr>
              <w:t>及以上</w:t>
            </w:r>
          </w:p>
        </w:tc>
        <w:tc>
          <w:tcPr>
            <w:tcW w:w="17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若有以下情况，学历可放宽至大专或技工院校高级工毕业：本人选入过世赛项目国家集训队；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1"/>
                <w:szCs w:val="21"/>
                <w:lang w:val="en-US" w:eastAsia="zh-CN" w:bidi="ar-SA"/>
              </w:rPr>
            </w:pPr>
          </w:p>
        </w:tc>
        <w:tc>
          <w:tcPr>
            <w:tcW w:w="22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1"/>
                <w:szCs w:val="21"/>
                <w:lang w:val="en-US" w:eastAsia="zh-CN" w:bidi="ar-SA"/>
              </w:rPr>
            </w:pPr>
          </w:p>
        </w:tc>
        <w:tc>
          <w:tcPr>
            <w:tcW w:w="265"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会计</w:t>
            </w:r>
          </w:p>
        </w:tc>
        <w:tc>
          <w:tcPr>
            <w:tcW w:w="317"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w:t>
            </w:r>
          </w:p>
        </w:tc>
        <w:tc>
          <w:tcPr>
            <w:tcW w:w="1587"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rPr>
                <w:rFonts w:hint="default"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会计学、财务管理、财务会计、管理会计、</w:t>
            </w:r>
            <w:r>
              <w:rPr>
                <w:rFonts w:hint="eastAsia" w:ascii="仿宋" w:hAnsi="仿宋" w:eastAsia="仿宋" w:cs="仿宋"/>
                <w:color w:val="auto"/>
                <w:sz w:val="21"/>
                <w:szCs w:val="21"/>
                <w:lang w:val="en-US" w:eastAsia="zh-CN"/>
              </w:rPr>
              <w:t>财务会计教育、工商管理</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eastAsia="zh-CN"/>
              </w:rPr>
              <w:t>本科及以上</w:t>
            </w:r>
          </w:p>
        </w:tc>
        <w:tc>
          <w:tcPr>
            <w:tcW w:w="17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both"/>
              <w:textAlignment w:val="auto"/>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1"/>
                <w:szCs w:val="21"/>
                <w:lang w:val="en-US" w:eastAsia="zh-CN" w:bidi="ar-SA"/>
              </w:rPr>
            </w:pPr>
          </w:p>
        </w:tc>
        <w:tc>
          <w:tcPr>
            <w:tcW w:w="22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1"/>
                <w:szCs w:val="21"/>
                <w:lang w:val="en-US" w:eastAsia="zh-CN" w:bidi="ar-SA"/>
              </w:rPr>
            </w:pPr>
          </w:p>
        </w:tc>
        <w:tc>
          <w:tcPr>
            <w:tcW w:w="265" w:type="pct"/>
            <w:noWrap w:val="0"/>
            <w:vAlign w:val="center"/>
          </w:tcPr>
          <w:p>
            <w:pPr>
              <w:pStyle w:val="4"/>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电商</w:t>
            </w:r>
          </w:p>
        </w:tc>
        <w:tc>
          <w:tcPr>
            <w:tcW w:w="317" w:type="pct"/>
            <w:noWrap w:val="0"/>
            <w:vAlign w:val="center"/>
          </w:tcPr>
          <w:p>
            <w:pPr>
              <w:pStyle w:val="4"/>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1</w:t>
            </w:r>
          </w:p>
        </w:tc>
        <w:tc>
          <w:tcPr>
            <w:tcW w:w="1587"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电子商务、视觉传达、电子商务及法律、跨境电子商务、市场营销、广告策划</w:t>
            </w:r>
          </w:p>
        </w:tc>
        <w:tc>
          <w:tcPr>
            <w:tcW w:w="650" w:type="pct"/>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本科及以上</w:t>
            </w:r>
          </w:p>
        </w:tc>
        <w:tc>
          <w:tcPr>
            <w:tcW w:w="17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具有在2年及以上相关工作经验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8" w:type="pct"/>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03岗</w:t>
            </w:r>
          </w:p>
        </w:tc>
        <w:tc>
          <w:tcPr>
            <w:tcW w:w="228" w:type="pct"/>
            <w:vMerge w:val="restart"/>
            <w:noWrap w:val="0"/>
            <w:vAlign w:val="center"/>
          </w:tcPr>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紧</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缺</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理</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实</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一</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体</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化</w:t>
            </w:r>
          </w:p>
          <w:p>
            <w:pPr>
              <w:keepNext w:val="0"/>
              <w:keepLines w:val="0"/>
              <w:suppressLineNumbers w:val="0"/>
              <w:spacing w:before="0" w:beforeAutospacing="0" w:after="0" w:afterAutospacing="0" w:line="320" w:lineRule="exact"/>
              <w:ind w:left="0" w:right="0"/>
              <w:jc w:val="center"/>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教</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sz w:val="21"/>
                <w:szCs w:val="21"/>
                <w:lang w:val="en-US" w:eastAsia="zh-CN"/>
              </w:rPr>
              <w:t>师</w:t>
            </w:r>
          </w:p>
        </w:tc>
        <w:tc>
          <w:tcPr>
            <w:tcW w:w="265"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建筑</w:t>
            </w:r>
          </w:p>
        </w:tc>
        <w:tc>
          <w:tcPr>
            <w:tcW w:w="317"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1587" w:type="pct"/>
            <w:noWrap w:val="0"/>
            <w:vAlign w:val="center"/>
          </w:tcPr>
          <w:p>
            <w:pPr>
              <w:keepNext w:val="0"/>
              <w:keepLines w:val="0"/>
              <w:pageBreakBefore w:val="0"/>
              <w:suppressLineNumbers w:val="0"/>
              <w:tabs>
                <w:tab w:val="left" w:pos="412"/>
                <w:tab w:val="center" w:pos="1167"/>
              </w:tabs>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eastAsia="zh-CN" w:bidi="ar-SA"/>
              </w:rPr>
              <w:t>土木类专业、工程造价</w:t>
            </w:r>
          </w:p>
        </w:tc>
        <w:tc>
          <w:tcPr>
            <w:tcW w:w="650" w:type="pct"/>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rPr>
                <w:rFonts w:hint="eastAsia" w:ascii="仿宋" w:hAnsi="仿宋" w:eastAsia="仿宋" w:cs="仿宋"/>
                <w:kern w:val="2"/>
                <w:sz w:val="21"/>
                <w:szCs w:val="21"/>
                <w:lang w:val="en-US" w:eastAsia="zh-CN" w:bidi="ar-SA"/>
              </w:rPr>
            </w:pPr>
            <w:r>
              <w:rPr>
                <w:rFonts w:hint="eastAsia" w:ascii="仿宋" w:hAnsi="仿宋" w:eastAsia="仿宋" w:cs="仿宋"/>
                <w:i w:val="0"/>
                <w:iCs w:val="0"/>
                <w:color w:val="000000"/>
                <w:kern w:val="0"/>
                <w:sz w:val="21"/>
                <w:szCs w:val="21"/>
                <w:u w:val="none"/>
                <w:lang w:val="en-US" w:eastAsia="zh-CN" w:bidi="ar"/>
              </w:rPr>
              <w:t>本科及以上</w:t>
            </w:r>
          </w:p>
        </w:tc>
        <w:tc>
          <w:tcPr>
            <w:tcW w:w="17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5" w:hRule="atLeast"/>
          <w:jc w:val="center"/>
        </w:trPr>
        <w:tc>
          <w:tcPr>
            <w:tcW w:w="22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1"/>
                <w:szCs w:val="21"/>
                <w:lang w:val="en-US" w:eastAsia="zh-CN" w:bidi="ar-SA"/>
              </w:rPr>
            </w:pPr>
          </w:p>
        </w:tc>
        <w:tc>
          <w:tcPr>
            <w:tcW w:w="228" w:type="pct"/>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center"/>
              <w:rPr>
                <w:rFonts w:hint="eastAsia" w:ascii="仿宋" w:hAnsi="仿宋" w:eastAsia="仿宋" w:cs="仿宋"/>
                <w:color w:val="auto"/>
                <w:kern w:val="2"/>
                <w:sz w:val="21"/>
                <w:szCs w:val="21"/>
                <w:lang w:val="en-US" w:eastAsia="zh-CN" w:bidi="ar-SA"/>
              </w:rPr>
            </w:pPr>
          </w:p>
        </w:tc>
        <w:tc>
          <w:tcPr>
            <w:tcW w:w="265" w:type="pct"/>
            <w:noWrap w:val="0"/>
            <w:vAlign w:val="center"/>
          </w:tcPr>
          <w:p>
            <w:pPr>
              <w:pStyle w:val="4"/>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烹饪</w:t>
            </w:r>
          </w:p>
        </w:tc>
        <w:tc>
          <w:tcPr>
            <w:tcW w:w="317" w:type="pct"/>
            <w:noWrap w:val="0"/>
            <w:vAlign w:val="center"/>
          </w:tcPr>
          <w:p>
            <w:pPr>
              <w:pStyle w:val="4"/>
              <w:keepNext w:val="0"/>
              <w:keepLines w:val="0"/>
              <w:pageBreakBefore w:val="0"/>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lang w:val="en-US" w:eastAsia="zh-CN"/>
              </w:rPr>
              <w:t>1</w:t>
            </w:r>
          </w:p>
        </w:tc>
        <w:tc>
          <w:tcPr>
            <w:tcW w:w="1587" w:type="pct"/>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left"/>
              <w:rPr>
                <w:rFonts w:hint="eastAsia" w:ascii="仿宋" w:hAnsi="仿宋" w:eastAsia="仿宋" w:cs="仿宋"/>
                <w:kern w:val="0"/>
                <w:sz w:val="21"/>
                <w:szCs w:val="21"/>
                <w:lang w:val="en-US" w:eastAsia="zh-CN" w:bidi="ar"/>
              </w:rPr>
            </w:pPr>
            <w:r>
              <w:rPr>
                <w:rFonts w:hint="eastAsia" w:ascii="仿宋" w:hAnsi="仿宋" w:eastAsia="仿宋" w:cs="仿宋"/>
                <w:i w:val="0"/>
                <w:iCs w:val="0"/>
                <w:color w:val="000000"/>
                <w:kern w:val="0"/>
                <w:sz w:val="21"/>
                <w:szCs w:val="21"/>
                <w:u w:val="none"/>
                <w:lang w:val="en-US" w:eastAsia="zh-CN" w:bidi="ar"/>
              </w:rPr>
              <w:t>烹调工艺与营养、中式烹调、食品营养与健康、食品加工工艺、旅游管理、烹饪与营养教育</w:t>
            </w:r>
          </w:p>
        </w:tc>
        <w:tc>
          <w:tcPr>
            <w:tcW w:w="650" w:type="pct"/>
            <w:noWrap w:val="0"/>
            <w:vAlign w:val="center"/>
          </w:tcPr>
          <w:p>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rPr>
                <w:rFonts w:hint="eastAsia" w:ascii="仿宋" w:hAnsi="仿宋" w:eastAsia="仿宋" w:cs="仿宋"/>
                <w:kern w:val="0"/>
                <w:sz w:val="21"/>
                <w:szCs w:val="21"/>
                <w:lang w:val="en-US" w:eastAsia="zh-CN" w:bidi="ar"/>
              </w:rPr>
            </w:pPr>
            <w:r>
              <w:rPr>
                <w:rFonts w:hint="eastAsia" w:ascii="仿宋" w:hAnsi="仿宋" w:eastAsia="仿宋" w:cs="仿宋"/>
                <w:sz w:val="21"/>
                <w:szCs w:val="21"/>
              </w:rPr>
              <w:t>技师学院技师毕业</w:t>
            </w:r>
            <w:r>
              <w:rPr>
                <w:rFonts w:hint="eastAsia" w:ascii="仿宋" w:hAnsi="仿宋" w:eastAsia="仿宋" w:cs="仿宋"/>
                <w:sz w:val="21"/>
                <w:szCs w:val="21"/>
                <w:lang w:val="en-US" w:eastAsia="zh-CN"/>
              </w:rPr>
              <w:t>或</w:t>
            </w:r>
            <w:r>
              <w:rPr>
                <w:rFonts w:hint="eastAsia" w:ascii="仿宋" w:hAnsi="仿宋" w:eastAsia="仿宋" w:cs="仿宋"/>
                <w:i w:val="0"/>
                <w:iCs w:val="0"/>
                <w:color w:val="000000"/>
                <w:kern w:val="0"/>
                <w:sz w:val="21"/>
                <w:szCs w:val="21"/>
                <w:u w:val="none"/>
                <w:lang w:val="en-US" w:eastAsia="zh-CN" w:bidi="ar"/>
              </w:rPr>
              <w:t>本科及以上</w:t>
            </w:r>
          </w:p>
        </w:tc>
        <w:tc>
          <w:tcPr>
            <w:tcW w:w="1721"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1.具有相关专业高级工及以上职业资格（中式烹调或中西式面点高级工及以上资格）。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firstLine="0" w:firstLineChars="0"/>
              <w:jc w:val="lef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2.若有以下情况之一，学历可放宽至大专或技工院校高级工毕业：1.本人参加建筑类省级一类大赛获一等奖或国家级一类大赛获二等奖及以上；2.本人选入过世赛项目国家集训队；3.指导学生参加相关专业国家级一类技能大赛获二等奖及以上；4.</w:t>
            </w:r>
            <w:bookmarkStart w:id="0" w:name="_GoBack"/>
            <w:bookmarkEnd w:id="0"/>
            <w:r>
              <w:rPr>
                <w:rFonts w:hint="eastAsia" w:ascii="仿宋" w:hAnsi="仿宋" w:eastAsia="仿宋" w:cs="仿宋"/>
                <w:color w:val="auto"/>
                <w:kern w:val="2"/>
                <w:sz w:val="21"/>
                <w:szCs w:val="21"/>
                <w:lang w:val="en-US" w:eastAsia="zh-CN" w:bidi="ar-SA"/>
              </w:rPr>
              <w:t>具有省级以上技术能手荣誉称号。</w:t>
            </w:r>
          </w:p>
        </w:tc>
      </w:tr>
    </w:tbl>
    <w:p/>
    <w:sectPr>
      <w:pgSz w:w="16838" w:h="11906" w:orient="landscape"/>
      <w:pgMar w:top="1406" w:right="1440" w:bottom="1406"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zNDA2N2UwY2UyZTZlN2RlZjRkMmVmNmVkMGQ5NzUifQ=="/>
  </w:docVars>
  <w:rsids>
    <w:rsidRoot w:val="75E9279E"/>
    <w:rsid w:val="291D1970"/>
    <w:rsid w:val="297F52F3"/>
    <w:rsid w:val="44521670"/>
    <w:rsid w:val="570606C5"/>
    <w:rsid w:val="68CC170F"/>
    <w:rsid w:val="69113F0C"/>
    <w:rsid w:val="6EBE3412"/>
    <w:rsid w:val="75E9279E"/>
    <w:rsid w:val="7E0724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2023-03-20T00:46:00Z</dcterms:created>
  <dc:creator>数绵羊的黑眼圈</dc:creator>
  <cp:lastModifiedBy>all4Uuuu</cp:lastModifiedBy>
  <cp:lastPrinted>2023-04-03T09:04:00Z</cp:lastPrinted>
  <dcterms:modified xsi:type="dcterms:W3CDTF">2023-04-05T11:23:12Z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B972FE3100744AFABFF7B1256488D8DA</vt:lpwstr>
  </property>
</Properties>
</file>