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</w:rPr>
        <w:t>赣南科学院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</w:rPr>
        <w:t>年面向社会公开考核招聘硕士研究生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  <w:lang w:eastAsia="zh-CN"/>
        </w:rPr>
        <w:t>学历人才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u w:val="none"/>
        </w:rPr>
        <w:t>信息简表</w:t>
      </w:r>
    </w:p>
    <w:tbl>
      <w:tblPr>
        <w:tblStyle w:val="5"/>
        <w:tblW w:w="13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69"/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15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家庭所在地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毕业届别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本科毕业院校及专业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硕士毕业院校及专业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6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FmYTcyNzA1OTMyZjcwNTFlMTJkZjU3ZGMwY2QifQ=="/>
  </w:docVars>
  <w:rsids>
    <w:rsidRoot w:val="0981323F"/>
    <w:rsid w:val="098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2023-04-17T08:01:00Z</dcterms:created>
  <dc:creator>Caesarli</dc:creator>
  <cp:lastModifiedBy>Caesarli</cp:lastModifiedBy>
  <dcterms:modified xsi:type="dcterms:W3CDTF">2023-04-17T08:02:02Z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9A1C6443BC054BE0BF78E7BED136798F</vt:lpwstr>
  </property>
</Properties>
</file>