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395"/>
        <w:tblW w:w="15831" w:type="dxa"/>
        <w:tblLook w:val="04A0" w:firstRow="1" w:lastRow="0" w:firstColumn="1" w:lastColumn="0" w:noHBand="0" w:noVBand="1"/>
      </w:tblPr>
      <w:tblGrid>
        <w:gridCol w:w="709"/>
        <w:gridCol w:w="875"/>
        <w:gridCol w:w="1134"/>
        <w:gridCol w:w="708"/>
        <w:gridCol w:w="576"/>
        <w:gridCol w:w="417"/>
        <w:gridCol w:w="708"/>
        <w:gridCol w:w="851"/>
        <w:gridCol w:w="992"/>
        <w:gridCol w:w="927"/>
        <w:gridCol w:w="632"/>
        <w:gridCol w:w="396"/>
        <w:gridCol w:w="2464"/>
        <w:gridCol w:w="3820"/>
        <w:gridCol w:w="622"/>
      </w:tblGrid>
      <w:tr w:rsidR="008E7B60" w:rsidTr="00EE54AA">
        <w:trPr>
          <w:trHeight w:val="7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附件</w:t>
            </w:r>
            <w:r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560" w:lineRule="exact"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E7B60" w:rsidTr="00EE54AA">
        <w:trPr>
          <w:trHeight w:val="540"/>
        </w:trPr>
        <w:tc>
          <w:tcPr>
            <w:tcW w:w="15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spacing w:line="560" w:lineRule="exact"/>
              <w:ind w:leftChars="760" w:left="2396" w:hangingChars="200" w:hanging="800"/>
              <w:jc w:val="center"/>
              <w:rPr>
                <w:rFonts w:ascii="方正小标宋_GBK" w:eastAsia="方正小标宋_GBK"/>
                <w:sz w:val="40"/>
                <w:szCs w:val="40"/>
              </w:rPr>
            </w:pPr>
            <w:r>
              <w:rPr>
                <w:rFonts w:ascii="方正小标宋_GBK" w:eastAsia="方正小标宋_GBK" w:hint="eastAsia"/>
                <w:sz w:val="40"/>
                <w:szCs w:val="40"/>
              </w:rPr>
              <w:t>麒麟区教育体育系统公开引进2023年教育人才专项岗位计划表</w:t>
            </w:r>
          </w:p>
          <w:p w:rsidR="008E7B60" w:rsidRDefault="008E7B60" w:rsidP="00EE54AA">
            <w:pPr>
              <w:widowControl/>
              <w:spacing w:line="560" w:lineRule="exact"/>
              <w:jc w:val="center"/>
              <w:rPr>
                <w:rFonts w:ascii="方正小标宋_GBK" w:eastAsia="方正小标宋_GBK" w:hAnsi="等线" w:cs="宋体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E7B60" w:rsidTr="00EE54AA">
        <w:trPr>
          <w:trHeight w:val="5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引进单位主管部门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引进学科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学历性质要求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民族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岗位其它条件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硕士研究生阶段专业</w:t>
            </w: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是否笔试</w:t>
            </w:r>
          </w:p>
        </w:tc>
      </w:tr>
      <w:tr w:rsidR="008E7B60" w:rsidTr="00EE54AA">
        <w:trPr>
          <w:trHeight w:val="5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E7B60" w:rsidTr="00EE54AA">
        <w:trPr>
          <w:trHeight w:val="21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 w:colFirst="2" w:colLast="2"/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</w:t>
            </w:r>
          </w:p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9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</w:t>
            </w:r>
          </w:p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物理）、学科教育学（物理教育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、天体测量与天体力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高中体育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体育学（体育教育训练学）、课程与教学论（体育）、课程与教学论（体育学科教学论）、学科教学（体育）、学科教育学（体育教育）、体育教学、运动训练、体育教育训练学、体育硕士（体育教学）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1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26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学科教学（政治或思想政治）、学科教育学（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思政教育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或思想政治教育）、课程与教学论（政治或思想政治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麒麟区麒麟高级中学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课程与教学论（历史）、学科教学（历史）、学科教育学（历史教育）、专门史、中国史、世界史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6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曲靖一中麒麟学校（麒麟区第九中学）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曲靖一中麒麟学校（</w:t>
            </w:r>
            <w:r w:rsidR="00FD3DFB"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麒麟区第九中学</w:t>
            </w: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曲靖一中麒麟学校（</w:t>
            </w:r>
            <w:r w:rsidR="00FD3DFB"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麒麟区第九中学</w:t>
            </w: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7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麒麟区第四中学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麒麟区第四中学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麒麟区第四中学（附属小学）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麒麟区第四中学（附属小学）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物理）、学科教育学（物理教育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、天体测量与天体力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4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麒麟区第七中学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7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麒麟区第八中学（麒麟区第七中学分校）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5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2</w:t>
            </w: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麒麟区第八中学（麒麟区第七中学分校）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 xml:space="preserve">　2</w:t>
            </w: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麒麟区第八中学（麒麟区第七中学分校）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2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2</w:t>
            </w: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麒麟区第八中学（麒麟区第七中学分校）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思政或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思想政治）、学科教育学（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思政教育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或思想政治教育）、课程与教学论（政治或思想政治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7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2</w:t>
            </w: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麒麟区第八中学（麒麟区第七中学分校）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课程与教学论（地理）、学科教学（地理）、学科教育学（地理教育）、地理、地理学 、自然地理学 、人文地理学、地球化学、地球探测与信息技术、地图学与地理信息系统、地图制图学与地理信息工程、地质工程、地质学、地质资源与地质工程、构造地质学、人文地理与城乡规划、自然地理与资源环境、地理信息科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4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麒麟区第十中学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2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麒麟区第十中学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学科教学（政治或思想政治）、学科教育学（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思政教育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或思想政治教育）、课程与教学论（政治或思想政治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8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麒麟区第十一中学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课程与教学论（地理）、学科教学（地理）、学科教育学（地理教育）、地理、地理学 、地理科学、自然地理学 、人文地理学、地球化学、地球探测与信息技术、地图学与地理信息系统、地图制图学与地理信息工程、地质工程、地质学、地质资源与地质工程、构造地质学、人文地理与城乡规划、自然地理与资源环境、地理信息科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4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麒麟区北关小学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麒麟区北关小学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0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麒麟区麒麟小学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6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麒麟区新生小学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麒麟区阳光小学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麒麟区阳光小学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学科教学（英语）、学科教育学（英语教育）、课程与教学论（英语）、英语笔译、翻译、英语口译、英语语言文学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24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麒麟区阳光小学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小学政治（道德与法治）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学科教学（政治或思想政治）、学科教育学（</w:t>
            </w:r>
            <w:proofErr w:type="gramStart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思政教育</w:t>
            </w:r>
            <w:proofErr w:type="gramEnd"/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或思想政治教育）、课程与教学论（政治或思想政治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麒麟区第三小学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曲靖市第二小学麒麟分校（麒麟区第五小学）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语文）、学科教育学（语文教育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8E7B60" w:rsidTr="00EE54AA">
        <w:trPr>
          <w:trHeight w:val="17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6D24DE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曲靖市第二小学麒麟分校（麒麟区第五小学）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 xml:space="preserve">全额事业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  <w:p w:rsidR="008E7B60" w:rsidRDefault="008E7B60" w:rsidP="00EE54AA">
            <w:pPr>
              <w:widowControl/>
              <w:spacing w:line="200" w:lineRule="exact"/>
              <w:jc w:val="left"/>
              <w:rPr>
                <w:rFonts w:ascii="方正仿宋_GBK" w:eastAsia="方正仿宋_GBK" w:hAnsi="等线" w:cs="宋体"/>
                <w:color w:val="000000" w:themeColor="text1"/>
                <w:kern w:val="0"/>
                <w:sz w:val="13"/>
                <w:szCs w:val="13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B60" w:rsidRDefault="008E7B60" w:rsidP="00EE54AA">
            <w:pPr>
              <w:widowControl/>
              <w:spacing w:line="200" w:lineRule="exact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学科教学（数学）、学科教育学（数学教育）、课程与教学论（数学）、运筹学与控制论、概率论与数理统计、基础数学、计算数学、数学、应用数学、统计学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B60" w:rsidRDefault="008E7B60" w:rsidP="00EE54AA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bookmarkEnd w:id="0"/>
    </w:tbl>
    <w:p w:rsidR="008E7B60" w:rsidRDefault="008E7B60" w:rsidP="008E7B60">
      <w:pPr>
        <w:pStyle w:val="a3"/>
        <w:spacing w:line="200" w:lineRule="exact"/>
        <w:ind w:right="161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8E7B60" w:rsidRDefault="008E7B60"/>
    <w:sectPr w:rsidR="008E7B60" w:rsidSect="008E7B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1F0" w:rsidRDefault="002D11F0" w:rsidP="00FD3DFB">
      <w:r>
        <w:separator/>
      </w:r>
    </w:p>
  </w:endnote>
  <w:endnote w:type="continuationSeparator" w:id="0">
    <w:p w:rsidR="002D11F0" w:rsidRDefault="002D11F0" w:rsidP="00F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1F0" w:rsidRDefault="002D11F0" w:rsidP="00FD3DFB">
      <w:r>
        <w:separator/>
      </w:r>
    </w:p>
  </w:footnote>
  <w:footnote w:type="continuationSeparator" w:id="0">
    <w:p w:rsidR="002D11F0" w:rsidRDefault="002D11F0" w:rsidP="00FD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60"/>
    <w:rsid w:val="002D11F0"/>
    <w:rsid w:val="006D24DE"/>
    <w:rsid w:val="008E7B60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CB93B-8EBE-4620-9A4E-8A47D80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7B60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8E7B60"/>
    <w:rPr>
      <w:rFonts w:ascii="Garamond" w:eastAsia="宋体" w:hAnsi="Garamond" w:cs="Garamon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3DF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3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2023-05-04T07:20:00Z</dcterms:created>
  <dcterms:modified xsi:type="dcterms:W3CDTF">2023-05-04T15:12:00Z</dcterms:modified>
</cp:coreProperties>
</file>