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三元区202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年高校毕业生服务社区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计划</w:t>
      </w:r>
      <w:bookmarkStart w:id="0" w:name="_GoBack"/>
      <w:bookmarkEnd w:id="0"/>
    </w:p>
    <w:p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招募考核量化评分表</w:t>
      </w:r>
    </w:p>
    <w:p>
      <w:pPr>
        <w:snapToGrid w:val="0"/>
        <w:spacing w:line="600" w:lineRule="exac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28"/>
          <w:szCs w:val="32"/>
        </w:rPr>
        <w:t>姓名：</w:t>
      </w:r>
    </w:p>
    <w:tbl>
      <w:tblPr>
        <w:tblStyle w:val="2"/>
        <w:tblW w:w="8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5240"/>
        <w:gridCol w:w="1160"/>
        <w:gridCol w:w="1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考评项目</w:t>
            </w:r>
          </w:p>
        </w:tc>
        <w:tc>
          <w:tcPr>
            <w:tcW w:w="5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1.中共党员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2.中共（预备）党员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3.共青团员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1.研究生以上学历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高分</w:t>
            </w: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2.全日制本科学历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3.全日制大专学历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1.是社会工作方面专业的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1.生源地为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三元区（含原梅列区）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2.生源地为区外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家庭困难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1.家庭是低保户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高分</w:t>
            </w: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家庭是建档立卡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脱贫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3.有申请国家助学贷款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毕业生类别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退役大学生士兵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残疾毕业生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少数民族毕业生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1.担任校学生会主席、校团委副书记、校社团联合会会长、校自律委员会主任、校青年志愿者协会会长职务1学年以上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高分</w:t>
            </w:r>
          </w:p>
        </w:tc>
      </w:tr>
      <w:tr>
        <w:trPr>
          <w:trHeight w:val="1248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2.担任校学生会副主席、校社团联合会副会长、校自律委员会副主任、校青年志愿者协会副会长，院（系）级学生会主席、团委副书记、自律委员会主任职务1个学年以上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3.担任校和院（系）学生会（团委）部长、在班级担任班长、团支部书记职务1学年以上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807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4.担任校和院（系）学生会（团委）副部长、在班级担任副班长、团支部副书记职务1学年以上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5.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担任校和院（系）其他协会（社团）会长或副会长职务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1学年以上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（除上述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4点外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在班级担任其他班委职务1学年以上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获得奖学金情况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1.获得国家励志奖学金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（国家奖学金）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取最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2.获得一等奖学金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3.获得二等奖学金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4.获得三等奖学金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1.获得省部级优秀毕业生、优秀学生干部、三好学生、优秀共产党员、优秀共青团员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（团干部）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可累计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.获得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地市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级优秀毕业生、优秀学生干部、三好学生、优秀共产党员、优秀共青团员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（团干部）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.获得校级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（校级、县（市）区委和政府、市级工作部门）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优秀毕业生、优秀学生干部、三好学生、优秀共产党员、优秀共青团员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（团干部）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.获得院（系）级优秀毕业生、优秀学生干部、三好学生、优秀共产党员、优秀共青团员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（团干部）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12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.获得省部级其他类奖项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6.获得地市级其他类奖项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62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.获得校级其他类奖项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（校级、县（市）区委和政府、市级工作部门）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.获得院（系）级其他类奖项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39" w:hRule="atLeast"/>
          <w:jc w:val="center"/>
        </w:trPr>
        <w:tc>
          <w:tcPr>
            <w:tcW w:w="6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napToGrid w:val="0"/>
        <w:spacing w:line="600" w:lineRule="exact"/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省部级表彰奖励是指省(自治区、直辖市)党委、政府以及国家部委授予的奖项或荣誉称号;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.地市级表彰奖励是指市委、市政府以及省级工作部门授予的奖项或荣誉称号。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报名人员量化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考核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得分相同的，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依次以家庭困难、生源地、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eastAsia="zh-CN"/>
        </w:rPr>
        <w:t>毕业生类别、专业、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政治面貌、学历、社会工作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eastAsia="zh-CN"/>
        </w:rPr>
        <w:t>情况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、获得奖学金及获奖情况等考评项目中得分高的优先录取。</w:t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9C2A5"/>
    <w:rsid w:val="B7B9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2023-05-09T16:08:00Z</dcterms:created>
  <dc:creator>user</dc:creator>
  <cp:lastModifiedBy>user</cp:lastModifiedBy>
  <dcterms:modified xsi:type="dcterms:W3CDTF">2023-05-09T16:08:55Z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