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98" w:type="dxa"/>
        <w:tblInd w:w="-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532"/>
        <w:gridCol w:w="1080"/>
        <w:gridCol w:w="1007"/>
        <w:gridCol w:w="864"/>
        <w:gridCol w:w="1034"/>
        <w:gridCol w:w="958"/>
        <w:gridCol w:w="740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019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河源市工商业联合会202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年公开招聘编外人员报名表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报考岗位名称：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民 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全日制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主要学习和工作经历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200X.0X-200X.0X 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在XXX学校XX专业学习（从大专以上学历写起）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200X.0X-200X.1X 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在XX单位工作，任XX职务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199X.0X 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儿子（女儿）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未读书的写学龄前幼儿，已读书的写读书的学校和班级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98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本人签名确认：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填表时间：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327" w:left="1417" w:header="851" w:footer="992" w:gutter="0"/>
      <w:pgNumType w:fmt="numberInDash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213EC"/>
    <w:rsid w:val="223213EC"/>
    <w:rsid w:val="515738CE"/>
    <w:rsid w:val="5AE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河源市工商联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2023-05-19T01:37:00Z</dcterms:created>
  <dc:creator>Hathmeo</dc:creator>
  <cp:lastModifiedBy>市工商联</cp:lastModifiedBy>
  <dcterms:modified xsi:type="dcterms:W3CDTF">2023-05-19T08:23:40Z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207D08E2E9EF40D0A68098F7D8C8BF8A</vt:lpwstr>
  </property>
</Properties>
</file>