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  <w:t>第一轮“双一流”建设高校及省内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  <w:t>“双一流”学科高校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（4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交通大学、西北工业大学、兰州大学，国防科技大学、东北大学、郑州大学、湖南大学、云南大学、西北农林科技大学、新疆大学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、河南大学</w:t>
      </w:r>
    </w:p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00000000"/>
    <w:rsid w:val="05B478E3"/>
    <w:rsid w:val="14CA0D6F"/>
    <w:rsid w:val="23F84985"/>
    <w:rsid w:val="39581830"/>
    <w:rsid w:val="49527FF7"/>
    <w:rsid w:val="744F0F53"/>
    <w:rsid w:val="78697379"/>
    <w:rsid w:val="793002DE"/>
    <w:rsid w:val="7C975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291</Characters>
  <Paragraphs>4</Paragraphs>
  <TotalTime>0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2023-03-09T17:46:00Z</dcterms:created>
  <dc:creator>wsx!!!</dc:creator>
  <cp:lastModifiedBy>熊猫kf</cp:lastModifiedBy>
  <cp:lastPrinted>2023-05-07T10:34:00Z</cp:lastPrinted>
  <dcterms:modified xsi:type="dcterms:W3CDTF">2023-05-23T12:24:36Z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E90ACCF5A73A433FB4F81FE72EC64AEA_13</vt:lpwstr>
  </property>
</Properties>
</file>