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1-1</w:t>
      </w:r>
    </w:p>
    <w:p>
      <w:pPr>
        <w:keepNext w:val="0"/>
        <w:keepLines w:val="0"/>
        <w:pageBreakBefore w:val="0"/>
        <w:kinsoku/>
        <w:autoSpaceDE/>
        <w:autoSpaceDN/>
        <w:bidi w:val="0"/>
        <w:adjustRightInd/>
        <w:spacing w:line="560" w:lineRule="exact"/>
        <w:ind w:right="0" w:rightChars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  <w:lang w:eastAsia="zh-CN"/>
        </w:rPr>
        <w:t>汝阳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</w:rPr>
        <w:t>县20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val="none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</w:rPr>
        <w:t>年引进研究生学历人才计划表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6498"/>
        <w:gridCol w:w="846"/>
        <w:gridCol w:w="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46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引进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中共党史、马克思主义中国化研究、思想政治教育、中国近现代史、哲学</w:t>
            </w:r>
            <w:r>
              <w:rPr>
                <w:rStyle w:val="5"/>
                <w:rFonts w:hint="eastAsia" w:ascii="黑体" w:hAnsi="黑体" w:eastAsia="黑体" w:cs="黑体"/>
                <w:color w:val="000000"/>
                <w:sz w:val="18"/>
                <w:szCs w:val="18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202302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法学、法律、法律（法学）、社会工作、社会学、国家安全学等相关专业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202303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新闻传播学、新闻与传播、新闻学、传播学、汉语言文字学、中国古典文献学、中国语言文学、应用语言学、中国现当代文学等相关专业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202304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 计算机科学与技术、 计算机技术、计算机系统结构、计算机软件与理论等相关专业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202305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土木水利工程、防灾减灾工程及防护工程、水利水电工程、安全科学与工程、化学工程与技术、安全技术及工程、土木工程、矿产普查与勘探、矿业工程、采矿工程、矿物加工工程、</w:t>
            </w:r>
            <w:r>
              <w:rPr>
                <w:rStyle w:val="6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土木水利、地质工程、地质资源与地质工程</w:t>
            </w:r>
            <w:r>
              <w:rPr>
                <w:rStyle w:val="7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等相关专业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202306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材料科学与工程、材料物理与化学、材料学、材料加工工程、轻工技术与工程、机械工程、机械制造及其自动化、机械电子工程、机械设计及理论 、材料物理与化学、材料学、材料加工工程、控制科学与工程、控制理论与控制工程、检测技术与自动化装置、系统工程、模式识别与智能系统 、管理科学与工程、设计学、导航、制导与控制等相关专业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202307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林学、森林培育、野生动植物保护与利用、风景园林学、园艺学、森林保护学、园林植物与观赏园艺</w:t>
            </w:r>
            <w:r>
              <w:rPr>
                <w:rStyle w:val="6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等相关专业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2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202308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工程、生物技术与工程、生物与医药、作物学、作物栽培学与耕作学、作物遗传育种、农艺与种业、环境科学与工程、环境科学、环境工程、农业工程、农业机械化工程、农业水土工程、农业生物环境与能源工程、农业电气化与自动化、兽医学、基础兽医学、预防兽医学、临床兽医学、畜牧学、动物遗传育种与繁殖、动物营养与饲料科学、特种经济动物饲养等相关专业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202309</w:t>
            </w:r>
          </w:p>
        </w:tc>
        <w:tc>
          <w:tcPr>
            <w:tcW w:w="6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202310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工商管理、行政管理、</w:t>
            </w:r>
            <w:r>
              <w:rPr>
                <w:rStyle w:val="6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人事与组织、商业和经济发展、企业管理</w:t>
            </w:r>
            <w:r>
              <w:rPr>
                <w:rStyle w:val="7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等相关专业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202311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现代教育技术、艺术等相关专业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7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合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计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RmNzYzNDE0MmJkMTUwMzA3ZWQwMjMzZGQ1NjUifQ=="/>
  </w:docVars>
  <w:rsids>
    <w:rsidRoot w:val="33972B94"/>
    <w:rsid w:val="339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黑体" w:hAnsi="宋体" w:eastAsia="黑体" w:cs="黑体"/>
      <w:color w:val="FF0000"/>
      <w:sz w:val="20"/>
      <w:szCs w:val="20"/>
      <w:u w:val="singl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2023-05-26T03:22:00Z</dcterms:created>
  <dc:creator>长苏</dc:creator>
  <cp:lastModifiedBy>长苏</cp:lastModifiedBy>
  <dcterms:modified xsi:type="dcterms:W3CDTF">2023-05-26T03:23:23Z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50E30AEB40A9486694AD69735D773ACC_11</vt:lpwstr>
  </property>
</Properties>
</file>