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附件2：</w:t>
      </w:r>
    </w:p>
    <w:p>
      <w:pPr>
        <w:spacing w:line="520" w:lineRule="exact"/>
        <w:jc w:val="center"/>
        <w:rPr>
          <w:rFonts w:hint="default" w:ascii="Times New Roman" w:hAnsi="Times New Roman" w:eastAsia="方正大标宋简体" w:cs="Times New Roman"/>
          <w:spacing w:val="-16"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lang w:eastAsia="zh-CN"/>
        </w:rPr>
        <w:t>兰溪市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</w:rPr>
        <w:t>面向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lang w:eastAsia="zh-CN"/>
        </w:rPr>
        <w:t>优秀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</w:rPr>
        <w:t>社区党组织书记招聘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lang w:eastAsia="zh-CN"/>
        </w:rPr>
        <w:t>事业单位工作人员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kern w:val="0"/>
          <w:sz w:val="36"/>
          <w:szCs w:val="36"/>
          <w:lang w:val="en-US" w:eastAsia="zh-CN"/>
        </w:rPr>
        <w:t>实绩考评量化表</w:t>
      </w:r>
    </w:p>
    <w:tbl>
      <w:tblPr>
        <w:tblStyle w:val="2"/>
        <w:tblW w:w="100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838"/>
        <w:gridCol w:w="3892"/>
        <w:gridCol w:w="663"/>
        <w:gridCol w:w="755"/>
        <w:gridCol w:w="733"/>
        <w:gridCol w:w="27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420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序号</w:t>
            </w:r>
          </w:p>
        </w:tc>
        <w:tc>
          <w:tcPr>
            <w:tcW w:w="4730" w:type="dxa"/>
            <w:gridSpan w:val="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指　　　标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最高</w:t>
            </w:r>
          </w:p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分值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自评分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考评分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说　　　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28" w:hRule="atLeast"/>
          <w:jc w:val="center"/>
        </w:trPr>
        <w:tc>
          <w:tcPr>
            <w:tcW w:w="420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1</w:t>
            </w:r>
          </w:p>
        </w:tc>
        <w:tc>
          <w:tcPr>
            <w:tcW w:w="4730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0"/>
              </w:rPr>
              <w:t>基础分（40分）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40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40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通过资格审核的推荐报名人员获基础分40分。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2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学历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情况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（5分）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本科学历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1.以最高学历计算，双学历不累计；2.国（境）外获得的学历学位，需经教育部学历学位认证中心认定。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大专学历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3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46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任职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情况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</w:rPr>
              <w:t>（2</w:t>
            </w: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</w:rPr>
              <w:t>分）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eastAsia="zh-CN"/>
              </w:rPr>
              <w:t>正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职期间，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eastAsia="zh-CN"/>
              </w:rPr>
              <w:t>社区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党组织星级评定五星级的，每年度加2分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4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szCs w:val="20"/>
                <w:lang w:val="en-US" w:eastAsia="zh-CN"/>
              </w:rPr>
              <w:t>当年度任正职6个月以上才可认定加分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spacing w:line="26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eastAsia="zh-CN"/>
              </w:rPr>
              <w:t>正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职期间，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eastAsia="zh-CN"/>
              </w:rPr>
              <w:t>社区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承担国家级、省级、金华、兰溪市级重点项目，并考核通过的，5分、3分、2分、1分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val="en-US" w:eastAsia="zh-CN"/>
              </w:rPr>
              <w:t>8</w:t>
            </w:r>
          </w:p>
        </w:tc>
        <w:tc>
          <w:tcPr>
            <w:tcW w:w="755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1.承担同一项目或获得同一类表彰的，按最高奖项计分，不重复加分，需提供相关证明；2.只统计连续任期内的奖励情况，下同。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spacing w:line="26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eastAsia="zh-CN"/>
              </w:rPr>
              <w:t>正职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期间，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eastAsia="zh-CN"/>
              </w:rPr>
              <w:t>社区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获得国家级、省级、金华市级荣誉的，分别加5分、3分、2分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val="en-US" w:eastAsia="zh-CN"/>
              </w:rPr>
              <w:t>8</w:t>
            </w:r>
          </w:p>
        </w:tc>
        <w:tc>
          <w:tcPr>
            <w:tcW w:w="75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2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6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任职期间，曾担任省、金华、兰溪市级党代表、人大代表、政协委员的，分别加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分、3分、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两代表一委员按最高</w:t>
            </w:r>
            <w:r>
              <w:rPr>
                <w:rFonts w:hint="eastAsia" w:cs="Times New Roman"/>
                <w:color w:val="auto"/>
                <w:kern w:val="0"/>
                <w:sz w:val="22"/>
                <w:szCs w:val="20"/>
                <w:lang w:val="en-US" w:eastAsia="zh-CN"/>
              </w:rPr>
              <w:t>任职层级认定</w:t>
            </w:r>
            <w:r>
              <w:rPr>
                <w:rFonts w:hint="eastAsia" w:cs="Times New Roman"/>
                <w:color w:val="auto"/>
                <w:kern w:val="0"/>
                <w:sz w:val="22"/>
                <w:szCs w:val="20"/>
                <w:lang w:eastAsia="zh-CN"/>
              </w:rPr>
              <w:t>，</w:t>
            </w:r>
            <w:r>
              <w:rPr>
                <w:rFonts w:hint="eastAsia" w:cs="Times New Roman"/>
                <w:color w:val="auto"/>
                <w:kern w:val="0"/>
                <w:sz w:val="22"/>
                <w:szCs w:val="20"/>
                <w:lang w:val="en-US" w:eastAsia="zh-CN"/>
              </w:rPr>
              <w:t>不重复加分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4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考核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奖惩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情况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</w:rPr>
              <w:t>（</w:t>
            </w: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黑体" w:cs="Times New Roman"/>
                <w:spacing w:val="-8"/>
                <w:kern w:val="0"/>
                <w:sz w:val="22"/>
                <w:szCs w:val="20"/>
              </w:rPr>
              <w:t>分）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eastAsia="zh-CN"/>
              </w:rPr>
              <w:t>五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年年度考核优秀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分/次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  <w:lang w:val="en-US" w:eastAsia="zh-CN"/>
              </w:rPr>
              <w:t>10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0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22"/>
                <w:szCs w:val="20"/>
              </w:rPr>
              <w:t>.担任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22"/>
                <w:szCs w:val="20"/>
                <w:lang w:eastAsia="zh-CN"/>
              </w:rPr>
              <w:t>社区正职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22"/>
                <w:szCs w:val="20"/>
              </w:rPr>
              <w:t>以来，考核表彰情况，需提供相关证明；2.奖励认定时间以落款时间为准；3.同一年度内同一类型表彰奖励多次的，按最高奖项计分；4.获得奖励的截止时间为202</w:t>
            </w:r>
            <w:r>
              <w:rPr>
                <w:rFonts w:hint="eastAsia" w:cs="Times New Roman"/>
                <w:color w:val="auto"/>
                <w:spacing w:val="-8"/>
                <w:kern w:val="0"/>
                <w:sz w:val="22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22"/>
                <w:szCs w:val="20"/>
              </w:rPr>
              <w:t>年</w:t>
            </w:r>
            <w:r>
              <w:rPr>
                <w:rFonts w:hint="eastAsia" w:cs="Times New Roman"/>
                <w:color w:val="auto"/>
                <w:spacing w:val="-8"/>
                <w:kern w:val="0"/>
                <w:sz w:val="22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22"/>
                <w:szCs w:val="20"/>
              </w:rPr>
              <w:t>月</w:t>
            </w:r>
            <w:r>
              <w:rPr>
                <w:rFonts w:hint="eastAsia" w:cs="Times New Roman"/>
                <w:color w:val="auto"/>
                <w:spacing w:val="-8"/>
                <w:kern w:val="0"/>
                <w:sz w:val="22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pacing w:val="-8"/>
                <w:kern w:val="0"/>
                <w:sz w:val="22"/>
                <w:szCs w:val="20"/>
              </w:rPr>
              <w:t>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6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个人获评省、金华市、兰溪市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优秀共产党员、优秀党务工作者、千名好支书、担当作为好支书、兴村治社名师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的，分别以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分/次、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分/次、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分/次计；获得省委省政府、金华市委市政府、兰溪市委市政府表彰的其他荣誉，减半得分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15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6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2"/>
                <w:szCs w:val="20"/>
                <w:lang w:eastAsia="zh-CN"/>
              </w:rPr>
              <w:t>社区工作期间个人被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诫勉每次减3分，党内警告（警告、记过）每次减10分，严重警告（记大过、降级）及以上每次减15分。同时受党纪政务处分和组织处理的，按情节重的减分，不重复减分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</w:pP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所受的诫勉、党纪政务处分和组织处理减分不设上限。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420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838" w:type="dxa"/>
            <w:vMerge w:val="restart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党委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推荐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情况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（5分）</w:t>
            </w: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第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1名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5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以推荐排名为序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第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2名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3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6" w:hRule="atLeast"/>
          <w:jc w:val="center"/>
        </w:trPr>
        <w:tc>
          <w:tcPr>
            <w:tcW w:w="420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838" w:type="dxa"/>
            <w:vMerge w:val="continue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</w:p>
        </w:tc>
        <w:tc>
          <w:tcPr>
            <w:tcW w:w="3892" w:type="dxa"/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eastAsia="zh-CN"/>
              </w:rPr>
              <w:t>第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3名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  <w:lang w:val="en-US" w:eastAsia="zh-CN"/>
              </w:rPr>
              <w:t>2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71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5150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>合计</w:t>
            </w:r>
          </w:p>
        </w:tc>
        <w:tc>
          <w:tcPr>
            <w:tcW w:w="66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100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　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　</w:t>
            </w:r>
          </w:p>
        </w:tc>
        <w:tc>
          <w:tcPr>
            <w:tcW w:w="2717" w:type="dxa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8" w:hRule="atLeast"/>
          <w:jc w:val="center"/>
        </w:trPr>
        <w:tc>
          <w:tcPr>
            <w:tcW w:w="10018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>说明：自评分由本人填写，考评分由组织部门填写。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9" w:hRule="atLeast"/>
          <w:jc w:val="center"/>
        </w:trPr>
        <w:tc>
          <w:tcPr>
            <w:tcW w:w="10018" w:type="dxa"/>
            <w:gridSpan w:val="7"/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0"/>
              </w:rPr>
              <w:t xml:space="preserve">以上信息填写全部属实，本人对信息的真实性负责。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kern w:val="0"/>
                <w:sz w:val="22"/>
                <w:szCs w:val="20"/>
              </w:rPr>
              <w:t xml:space="preserve">                                   本人签字确认：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OGM1YjhlZmI1YzY1NTE3ODQyMTQzMTU2ZmVkMzcifQ=="/>
  </w:docVars>
  <w:rsids>
    <w:rsidRoot w:val="7A416DF3"/>
    <w:rsid w:val="4AA81C38"/>
    <w:rsid w:val="5DEBBD1B"/>
    <w:rsid w:val="7A41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815</Characters>
  <Lines>0</Lines>
  <Paragraphs>0</Paragraphs>
  <TotalTime>9</TotalTime>
  <ScaleCrop>false</ScaleCrop>
  <LinksUpToDate>false</LinksUpToDate>
  <CharactersWithSpaces>897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2022-08-26T15:59:00Z</dcterms:created>
  <dc:creator>ldj</dc:creator>
  <cp:lastModifiedBy>uos</cp:lastModifiedBy>
  <dcterms:modified xsi:type="dcterms:W3CDTF">2023-06-09T09:48:56Z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8F69005C0C8947149501DC2BCA264CA8_12</vt:lpwstr>
  </property>
</Properties>
</file>