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职业学院2023年公开招聘博士研究生岗位表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4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93"/>
        <w:gridCol w:w="1406"/>
        <w:gridCol w:w="1390"/>
        <w:gridCol w:w="1930"/>
        <w:gridCol w:w="2340"/>
        <w:gridCol w:w="1541"/>
        <w:gridCol w:w="1504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5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山西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青年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职业学院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符合学院专业发展需要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博士研究生学历学位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40周岁及以下（特别优秀或学科专业急需的年龄可放宽至45周岁）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山西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太原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DkyZDQ0YTQxNGZiZDc4YWQ2MmRkZjhiODBmYjcifQ=="/>
  </w:docVars>
  <w:rsids>
    <w:rsidRoot w:val="00954320"/>
    <w:rsid w:val="005F33F9"/>
    <w:rsid w:val="008E1239"/>
    <w:rsid w:val="00954320"/>
    <w:rsid w:val="4481166E"/>
    <w:rsid w:val="5D3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134</Characters>
  <Lines>1</Lines>
  <Paragraphs>1</Paragraphs>
  <TotalTime>2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2023-06-22T09:58:00Z</dcterms:created>
  <dc:creator>石晓雷</dc:creator>
  <cp:lastModifiedBy>光之暗面</cp:lastModifiedBy>
  <dcterms:modified xsi:type="dcterms:W3CDTF">2023-06-22T11:47:10Z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3AB72F7678784EDA89492F78854D4322_13</vt:lpwstr>
  </property>
</Properties>
</file>