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2023年赤峰市巴林左旗事业单位“绿色通道”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第二批次引进人才评价表填报说明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一、公共评价项目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（一）专业层次方面：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1.一流大学和一流学科目录，以《教育部 财政部 国家发展改革委关于公布第二轮“双一流”建设高校及建设学科名单的通知》（教研函〔2022〕1号）为准。后附具体名单。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2.在一流学科认定上，所学专业须属该学科内专业。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3.海外学历报名人员，须提供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入学及毕业</w:t>
      </w:r>
      <w:r>
        <w:rPr>
          <w:rFonts w:hint="eastAsia" w:ascii="仿宋_GB2312" w:hAnsi="黑体" w:eastAsia="仿宋_GB2312"/>
          <w:sz w:val="32"/>
          <w:szCs w:val="32"/>
        </w:rPr>
        <w:t>证明文件材料（证明文件材料属外文的，须提供翻译文本）。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4.海外学历学校排名，以该校QS世界大学排名历史最高为准（须报名人员提供当年QS世界大学排名文件，无法提供的，以202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年QS世界大学排名为准）。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（二）成绩业绩方面：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以学校出具的加盖印章的研究生成绩单为准，按照下表对应赋分，以全部课程总成绩为准。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898"/>
        <w:gridCol w:w="21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百分制平均成绩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GPA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85-100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3.7-4.0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75-84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2.7-3.6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65-74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1.7-2.6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60-64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1.0-1.6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5分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黑体" w:eastAsia="仿宋_GB2312"/>
          <w:sz w:val="28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不能提供有效成绩单的，不得分。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（三）研究成果方面：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1.需提供检索页、扫描文本及作品文件。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2.全国性会议、国家级学术论坛发表论文文章的，需说明会议时间、主办单位、会议规格等情况。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（四）荣誉方面：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2.在校期间获得“国家奖学金”和“国家励志奖学金”的，无论获奖次数，只加3分。其他类型奖学金不计分。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3.学校授予的荣誉不计算得分。</w:t>
      </w: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</w:p>
    <w:p>
      <w:pPr>
        <w:widowControl/>
        <w:jc w:val="left"/>
        <w:rPr>
          <w:rFonts w:hint="eastAsia" w:ascii="仿宋" w:hAnsi="仿宋" w:eastAsia="仿宋"/>
          <w:sz w:val="21"/>
          <w:szCs w:val="21"/>
        </w:rPr>
      </w:pPr>
    </w:p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tbl>
      <w:tblPr>
        <w:tblStyle w:val="5"/>
        <w:tblpPr w:leftFromText="180" w:rightFromText="180" w:vertAnchor="text" w:horzAnchor="page" w:tblpX="1264" w:tblpY="458"/>
        <w:tblOverlap w:val="never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5504"/>
        <w:gridCol w:w="675"/>
        <w:gridCol w:w="1095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2023年赤峰市巴林左旗事业单位“绿色通道”第二批次引进人才评价表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00063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王某某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报名岗位: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巴林左旗人民医院 XX岗位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自评得分: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5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赋分标准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赋分总分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自评得分项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专业层次  </w:t>
            </w:r>
            <w:r>
              <w:rPr>
                <w:rStyle w:val="12"/>
                <w:lang w:val="en-US" w:eastAsia="zh-CN" w:bidi="ar"/>
              </w:rPr>
              <w:t>（按照学历层次连续填写）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本  科</w:t>
            </w:r>
            <w:r>
              <w:rPr>
                <w:rStyle w:val="14"/>
                <w:lang w:val="en-US" w:eastAsia="zh-CN" w:bidi="ar"/>
              </w:rPr>
              <w:t>：一流大学且一流学科者得20分，一流大学非一流学科者得10分，其他得5分。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内蒙古医科大学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 xml:space="preserve"> 临床医学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公共评价项目</w:t>
            </w: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研究生</w:t>
            </w:r>
            <w:r>
              <w:rPr>
                <w:rStyle w:val="14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  <w:t>天津医科大学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 xml:space="preserve"> 临床医学（内科学） 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国 内</w:t>
            </w:r>
            <w:r>
              <w:rPr>
                <w:rStyle w:val="14"/>
                <w:lang w:val="en-US" w:eastAsia="zh-CN" w:bidi="ar"/>
              </w:rPr>
              <w:t>：一流大学且一流学科者得</w:t>
            </w:r>
            <w:r>
              <w:rPr>
                <w:rStyle w:val="14"/>
                <w:rFonts w:hint="eastAsia"/>
                <w:lang w:val="en-US" w:eastAsia="zh-CN" w:bidi="ar"/>
              </w:rPr>
              <w:t>30</w:t>
            </w:r>
            <w:r>
              <w:rPr>
                <w:rStyle w:val="14"/>
                <w:lang w:val="en-US" w:eastAsia="zh-CN" w:bidi="ar"/>
              </w:rPr>
              <w:t>分，一流大学非一流学科者得</w:t>
            </w:r>
            <w:r>
              <w:rPr>
                <w:rStyle w:val="14"/>
                <w:rFonts w:hint="eastAsia"/>
                <w:lang w:val="en-US" w:eastAsia="zh-CN" w:bidi="ar"/>
              </w:rPr>
              <w:t>20</w:t>
            </w:r>
            <w:r>
              <w:rPr>
                <w:rStyle w:val="14"/>
                <w:lang w:val="en-US" w:eastAsia="zh-CN" w:bidi="ar"/>
              </w:rPr>
              <w:t>分，其他得</w:t>
            </w:r>
            <w:r>
              <w:rPr>
                <w:rStyle w:val="14"/>
                <w:rFonts w:hint="eastAsia"/>
                <w:lang w:val="en-US" w:eastAsia="zh-CN" w:bidi="ar"/>
              </w:rPr>
              <w:t>10</w:t>
            </w:r>
            <w:r>
              <w:rPr>
                <w:rStyle w:val="14"/>
                <w:lang w:val="en-US" w:eastAsia="zh-CN" w:bidi="ar"/>
              </w:rPr>
              <w:t>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海 外</w:t>
            </w:r>
            <w:r>
              <w:rPr>
                <w:rStyle w:val="14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学校QS综合排名1-100名的，得30分；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学校QS综合排名101-500名的，得20分；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学校QS综合排名501-1000名的,得10分；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成绩 业绩  </w:t>
            </w: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5080</wp:posOffset>
                      </wp:positionV>
                      <wp:extent cx="0" cy="1209675"/>
                      <wp:effectExtent l="4445" t="0" r="1079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93110" y="5038090"/>
                                <a:ext cx="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6.55pt;margin-top:0.4pt;height:95.25pt;width:0pt;z-index:251659264;mso-width-relative:page;mso-height-relative:page;" filled="f" stroked="t" coordsize="21600,21600" o:gfxdata="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oFZE0wAAAAgBAAAPAAAAAAAAAAEAIAAAACIAAABkcnMvZG93bnJldi54bWxQ&#10;SwECFAAUAAAACACHTuJA0I196fwBAADfAwAADgAAAAAAAAABACAAAAAiAQAAZHJzL2Uyb0RvYy54&#10;bWxQSwUGAAAAAAYABgBZAQAAk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研究生成绩：                   本科生成绩：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研究生阶段3.8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GPA为4.0-3.7得20分，        GPA为4.0-3.7得20分，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GPA为3.6-2.7得15分，        GPA为3.6-2.7得15分，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GPA为2.6-1.7得10分，        GPA为2.6-1.7得10分，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GPA为1.6-1.0得5分。        GPA为1.6-1.0得5分。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研究 成果</w:t>
            </w: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为第一作者发表论文文章且被SCI收录者，每篇得5分；作为除导师以外第一作者发表论文文章且被SCI收录者，每篇得3分；作为除导师以外第二作者发表论文文章且被SCI收录者，每篇得1分；作为第一作者发表论文文章且被EI收录者，每篇得1分。</w:t>
            </w:r>
            <w:bookmarkStart w:id="0" w:name="_GoBack"/>
            <w:bookmarkEnd w:id="0"/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在《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》发表论文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1篇，且被SCI收录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同一篇文章按最高分计算，发表多篇的累加不超10分。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荣誉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获得国家级荣誉者每项得5分；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无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获得省级荣誉者每项得3分；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获得市级荣誉者每项得1分。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各项累加不超过10分。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具有与报考岗位相符的中级专业技术职称的5分；具有与报考岗位相符的副高及以上专业技术职称的10分。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具有副主任医师职称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特殊人才: 1.作为第一作者文章被SCI收录超过5篇（含）者，人才评价按满分计算（100分）。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2.获得国家级荣誉3项（含）以上者，人才评价按满分计算（100分）。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3.获得全日制博士学历学位者，人才评价按满分计算（100分）。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本人签名（手写）：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王XX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身份证号：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15XXXXXXXXXX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联系电话：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13XXXXXXX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填报示例：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  <w:t>本表须手写签名后扫描上传并妥善保存。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第二轮“双一流”建设高校及建设学科名单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29"/>
          <w:szCs w:val="29"/>
          <w:lang w:val="en-US" w:eastAsia="zh-CN" w:bidi="ar"/>
        </w:rPr>
        <w:t>（按学校代码排序）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哲学、理论经济学、应用经济学、法学、政治学、 社会学、马克思主义理论、新闻传播学、中国史、统计学、工商管理、农林经济管理、公共管理、图书情报与档案管理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清华大学：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系统科学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力学、仪器科学与技术、材料科学与工程、控制科学与工程、计算机科学与技术、交通运输工程、航空宇航科学与技术、软件工程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物理学、材料科学与工程、控制科学与工程、兵器科学与技术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科学技术史、材料科学与工程、冶金工程、矿业工程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北京化工大学：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生物学、农业工程、食品科学与工程、作物学、农业资源与环境、植物保护、畜牧学、兽医学、草学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风景园林学、林学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北京协和医学院：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生物学、生物医学工程、临床医学、公共卫生与预防医学、药学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中医学、中西医结合、中药学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哲学、教育学、心理学、中国语言文学、外国语 言文学、中国史、数学、地理学、系统科学、生态学、环境科学与工程、戏剧与影视学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首都师范大学：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中国传媒大学：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新闻传播学、戏剧与影视学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对外经济贸易大学：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外交学院：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中国人民公安大学：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北京体育大学：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美术学、设计学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中央戏剧学院：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中央民族大学：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应用经济学、世界史、数学、化学、统计学、材料科学与工程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化学、材料科学与工程、动力工程及工程热物理、化学工程与技术、管理科学与工程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纺织科学与工程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华北电力大学：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哲学、物理学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太原理工大学：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内蒙古大学：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辽宁大学：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冶金工程、控制科学与工程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大连海事大学：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吉林大学：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考古学、数学、物理学、化学、生物学、材料科学与工程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延边大学：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马克思主义理论、教育学、世界史、化学、统计学、材料科学与工程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力学、机械工程、材料科学与工程、控制科学与工程、计算机科学与技术、土木工程、航空宇航科学与技术、环境科学与工程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船舶与海洋工程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畜牧学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林业工程、林学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复旦大学：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同济大学：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生物学、建筑学、土木工程、测绘科学与技术、环境科学与工程、城乡规划学、风景园林学、设计学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材料科学与工程、纺织科学与工程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教育学、生态学、统计学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上海体育学院：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 程、图书情报与档案管理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力学、控制科学与工程、航空宇航科学与技术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兵器科学与技术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水利工程、环境科学与工程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江南大学：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轻工技术与工程、食品科学与工程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南京信息工程大学：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大气科学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作物学、农业资源与环境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公共卫生与预防医学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中国药科大学：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浙江大学：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 程、农林经济管理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安徽大学：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中国科学技术大学：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合肥工业大学：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厦门大学：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教育学、化学、海洋科学、生物学、生态学、统计学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南昌大学：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山东大学：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中国语言文学、数学、化学、临床医学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海洋科学、水产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中国石油大学（华东）：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郑州大学：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机械工程、光学工程、材料科学与工程、动力工程及工程热物理、电气工程、计算机科学与技术、基础医学、临床医 学、公共卫生与预防医学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中国地质大学（武汉）：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生物学、园艺学、畜牧学、兽医学、农林经济管理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政治学、教育学、中国语言文学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中南财经政法大学：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湘潭大学：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化学、机械工程、电气工程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数学、材料科学与工程、冶金工程、矿业工程、交通运输工程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中山大学：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哲学、数学、化学、生物学、生态学、材料科学与工程、电子科学与技术、基础医学、临床医学、药学、工商管理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暨南大学：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化学、材料科学与工程、轻工技术与工程、食品科学与工程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数学、化学、材料科学与工程、基础医学、口腔医学、护理学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重庆大学：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机械工程、电气工程、土木工程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电子科学与技术、信息与通信工程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西南石油大学：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贵州大学：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云南大学：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民族学、生态学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考古学、地质学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力学、机械工程、材料科学与工程、动力工程及工程热物理、电气工程、控制科学与工程、管理科学与工程、工商管理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机械工程、材料科学与工程、航空宇航科学与技术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长安大学：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西北农林科技大学：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植物保护、畜牧学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陕西师范大学：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中国语言文学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兰州大学：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化学、大气科学、生态学、草学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青海大学：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新疆大学：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马克思主义理论、化学、计算机科学与技术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石河子大学：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南方科技大学：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国防科技大学：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信息与通信工程、计算机科学与技术、航空宇航科学与技术、软件工程、管理科学与工程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基础医学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空军军医大学：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临床医学</w:t>
      </w:r>
    </w:p>
    <w:sectPr>
      <w:pgSz w:w="11906" w:h="16838"/>
      <w:pgMar w:top="1440" w:right="1800" w:bottom="1118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mZmZGFhNjc0MDM1YjQ2Yzc3YTM5ZjE4ZGI3MDAifQ=="/>
  </w:docVars>
  <w:rsids>
    <w:rsidRoot w:val="00BF39F8"/>
    <w:rsid w:val="00003412"/>
    <w:rsid w:val="000141F8"/>
    <w:rsid w:val="000B0F0A"/>
    <w:rsid w:val="000B7CD2"/>
    <w:rsid w:val="00215C73"/>
    <w:rsid w:val="00222188"/>
    <w:rsid w:val="0024420F"/>
    <w:rsid w:val="00246C17"/>
    <w:rsid w:val="00257BEF"/>
    <w:rsid w:val="0033070E"/>
    <w:rsid w:val="00411F1B"/>
    <w:rsid w:val="004701D7"/>
    <w:rsid w:val="00481615"/>
    <w:rsid w:val="004C38EE"/>
    <w:rsid w:val="005B0CC2"/>
    <w:rsid w:val="006E5E26"/>
    <w:rsid w:val="00714773"/>
    <w:rsid w:val="00814737"/>
    <w:rsid w:val="00825262"/>
    <w:rsid w:val="008373E4"/>
    <w:rsid w:val="00907D48"/>
    <w:rsid w:val="009A6067"/>
    <w:rsid w:val="00A175BC"/>
    <w:rsid w:val="00A3733F"/>
    <w:rsid w:val="00A662B8"/>
    <w:rsid w:val="00AB10E5"/>
    <w:rsid w:val="00AE4153"/>
    <w:rsid w:val="00B128ED"/>
    <w:rsid w:val="00B210ED"/>
    <w:rsid w:val="00B333E6"/>
    <w:rsid w:val="00B369F3"/>
    <w:rsid w:val="00BD37FD"/>
    <w:rsid w:val="00BF39F8"/>
    <w:rsid w:val="00C63BE0"/>
    <w:rsid w:val="00C84EBE"/>
    <w:rsid w:val="00D33B7F"/>
    <w:rsid w:val="00DF74F9"/>
    <w:rsid w:val="00E7362A"/>
    <w:rsid w:val="00E9095B"/>
    <w:rsid w:val="00E93FBC"/>
    <w:rsid w:val="00F14B75"/>
    <w:rsid w:val="00F96762"/>
    <w:rsid w:val="00FB6264"/>
    <w:rsid w:val="00FB7E46"/>
    <w:rsid w:val="00FE7DE1"/>
    <w:rsid w:val="00FF00C7"/>
    <w:rsid w:val="00FF4782"/>
    <w:rsid w:val="01964270"/>
    <w:rsid w:val="04976F85"/>
    <w:rsid w:val="05642E12"/>
    <w:rsid w:val="071660CA"/>
    <w:rsid w:val="09E60B1F"/>
    <w:rsid w:val="0DAD17DE"/>
    <w:rsid w:val="105A2FDC"/>
    <w:rsid w:val="117E56F8"/>
    <w:rsid w:val="1606156C"/>
    <w:rsid w:val="16242100"/>
    <w:rsid w:val="174B1490"/>
    <w:rsid w:val="189B1888"/>
    <w:rsid w:val="19521D9A"/>
    <w:rsid w:val="1A0822E3"/>
    <w:rsid w:val="1B742445"/>
    <w:rsid w:val="1C962F1E"/>
    <w:rsid w:val="1E455571"/>
    <w:rsid w:val="2016204D"/>
    <w:rsid w:val="214F17D3"/>
    <w:rsid w:val="24702E44"/>
    <w:rsid w:val="27FA496E"/>
    <w:rsid w:val="30CF1707"/>
    <w:rsid w:val="375831C9"/>
    <w:rsid w:val="3C075B35"/>
    <w:rsid w:val="3E6076F3"/>
    <w:rsid w:val="40771E6A"/>
    <w:rsid w:val="439022FA"/>
    <w:rsid w:val="46162856"/>
    <w:rsid w:val="465C2323"/>
    <w:rsid w:val="466E2B07"/>
    <w:rsid w:val="469F4AEF"/>
    <w:rsid w:val="481E6F7A"/>
    <w:rsid w:val="4C923C74"/>
    <w:rsid w:val="4E97588C"/>
    <w:rsid w:val="4F8A2E48"/>
    <w:rsid w:val="50212FDD"/>
    <w:rsid w:val="52171E30"/>
    <w:rsid w:val="54670832"/>
    <w:rsid w:val="54900704"/>
    <w:rsid w:val="586D7D3E"/>
    <w:rsid w:val="5A8D2174"/>
    <w:rsid w:val="5DB25002"/>
    <w:rsid w:val="62B66254"/>
    <w:rsid w:val="64783774"/>
    <w:rsid w:val="64A532CB"/>
    <w:rsid w:val="6504149D"/>
    <w:rsid w:val="675E1A6A"/>
    <w:rsid w:val="6A226039"/>
    <w:rsid w:val="6D2208FE"/>
    <w:rsid w:val="71630796"/>
    <w:rsid w:val="71A97BF2"/>
    <w:rsid w:val="76FE71EA"/>
    <w:rsid w:val="79D74671"/>
    <w:rsid w:val="7A905827"/>
    <w:rsid w:val="7D0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15</Pages>
  <Words>1008</Words>
  <Characters>5750</Characters>
  <Lines>47</Lines>
  <Paragraphs>13</Paragraphs>
  <TotalTime>31</TotalTime>
  <ScaleCrop>false</ScaleCrop>
  <LinksUpToDate>false</LinksUpToDate>
  <CharactersWithSpaces>6745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郭鲁蒙</dc:creator>
  <cp:lastModifiedBy>娄志鹏</cp:lastModifiedBy>
  <cp:lastPrinted>2021-11-24T00:45:00Z</cp:lastPrinted>
  <dcterms:modified xsi:type="dcterms:W3CDTF">2023-08-29T08:21:38Z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A019C4D4E4A74AC1983C090A26ADA983_13</vt:lpwstr>
  </property>
</Properties>
</file>