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宋体" w:cs="宋体"/>
          <w:w w:val="85"/>
          <w:kern w:val="0"/>
          <w:sz w:val="32"/>
          <w:szCs w:val="32"/>
        </w:rPr>
      </w:pPr>
      <w:bookmarkStart w:id="0" w:name="_Toc6286_WPSOffice_Level1"/>
      <w:r>
        <w:rPr>
          <w:rFonts w:hint="eastAsia" w:ascii="楷体" w:hAnsi="楷体" w:eastAsia="楷体" w:cs="宋体"/>
          <w:w w:val="85"/>
          <w:kern w:val="0"/>
          <w:sz w:val="32"/>
          <w:szCs w:val="32"/>
        </w:rPr>
        <w:t>附件</w:t>
      </w:r>
      <w:r>
        <w:rPr>
          <w:rFonts w:ascii="楷体" w:hAnsi="楷体" w:eastAsia="楷体" w:cs="宋体"/>
          <w:w w:val="85"/>
          <w:kern w:val="0"/>
          <w:sz w:val="32"/>
          <w:szCs w:val="32"/>
        </w:rPr>
        <w:t>1</w:t>
      </w:r>
      <w:r>
        <w:rPr>
          <w:rFonts w:hint="eastAsia" w:ascii="宋体" w:hAnsi="宋体" w:cs="宋体"/>
          <w:w w:val="85"/>
          <w:kern w:val="0"/>
          <w:sz w:val="32"/>
          <w:szCs w:val="32"/>
        </w:rPr>
        <w:t>：</w:t>
      </w:r>
    </w:p>
    <w:p>
      <w:pPr>
        <w:adjustRightInd w:val="0"/>
        <w:snapToGrid w:val="0"/>
        <w:spacing w:line="640" w:lineRule="exact"/>
        <w:jc w:val="center"/>
        <w:rPr>
          <w:rFonts w:ascii="宋体" w:cs="宋体"/>
          <w:b/>
          <w:w w:val="85"/>
          <w:kern w:val="0"/>
          <w:sz w:val="44"/>
          <w:szCs w:val="44"/>
        </w:rPr>
      </w:pPr>
      <w:r>
        <w:rPr>
          <w:rFonts w:hint="eastAsia" w:ascii="宋体" w:hAnsi="宋体" w:cs="宋体"/>
          <w:b/>
          <w:w w:val="85"/>
          <w:kern w:val="0"/>
          <w:sz w:val="44"/>
          <w:szCs w:val="44"/>
        </w:rPr>
        <w:t>厦门市同安区所属事业单位</w:t>
      </w:r>
    </w:p>
    <w:p>
      <w:pPr>
        <w:adjustRightInd w:val="0"/>
        <w:snapToGrid w:val="0"/>
        <w:spacing w:line="560" w:lineRule="exact"/>
        <w:jc w:val="center"/>
        <w:rPr>
          <w:rFonts w:ascii="宋体" w:cs="宋体"/>
          <w:b/>
          <w:w w:val="85"/>
          <w:kern w:val="0"/>
          <w:sz w:val="44"/>
          <w:szCs w:val="44"/>
        </w:rPr>
      </w:pPr>
      <w:r>
        <w:rPr>
          <w:rFonts w:hint="eastAsia" w:ascii="宋体" w:hAnsi="宋体" w:cs="宋体"/>
          <w:b/>
          <w:w w:val="85"/>
          <w:kern w:val="0"/>
          <w:sz w:val="44"/>
          <w:szCs w:val="44"/>
          <w:lang w:eastAsia="zh-CN"/>
        </w:rPr>
        <w:t>公开</w:t>
      </w:r>
      <w:r>
        <w:rPr>
          <w:rFonts w:hint="eastAsia" w:ascii="宋体" w:hAnsi="宋体" w:cs="宋体"/>
          <w:b/>
          <w:w w:val="85"/>
          <w:kern w:val="0"/>
          <w:sz w:val="44"/>
          <w:szCs w:val="44"/>
        </w:rPr>
        <w:t>招聘工作人员报考须知（</w:t>
      </w:r>
      <w:r>
        <w:rPr>
          <w:rFonts w:hint="eastAsia" w:asciiTheme="majorEastAsia" w:hAnsiTheme="majorEastAsia" w:eastAsiaTheme="majorEastAsia" w:cstheme="majorEastAsia"/>
          <w:color w:val="0000FF"/>
          <w:sz w:val="44"/>
          <w:szCs w:val="44"/>
        </w:rPr>
        <w:t>202</w:t>
      </w:r>
      <w:r>
        <w:rPr>
          <w:rFonts w:hint="eastAsia" w:asciiTheme="majorEastAsia" w:hAnsiTheme="majorEastAsia" w:eastAsiaTheme="majorEastAsia" w:cstheme="majorEastAsia"/>
          <w:color w:val="0000FF"/>
          <w:sz w:val="44"/>
          <w:szCs w:val="44"/>
          <w:lang w:val="en-US" w:eastAsia="zh-CN"/>
        </w:rPr>
        <w:t>3</w:t>
      </w:r>
      <w:r>
        <w:rPr>
          <w:rFonts w:hint="eastAsia" w:asciiTheme="majorEastAsia" w:hAnsiTheme="majorEastAsia" w:eastAsiaTheme="majorEastAsia" w:cstheme="majorEastAsia"/>
          <w:color w:val="0000FF"/>
          <w:sz w:val="44"/>
          <w:szCs w:val="44"/>
        </w:rPr>
        <w:t>年</w:t>
      </w:r>
      <w:r>
        <w:rPr>
          <w:rFonts w:hint="eastAsia" w:asciiTheme="majorEastAsia" w:hAnsiTheme="majorEastAsia" w:eastAsiaTheme="majorEastAsia" w:cstheme="majorEastAsia"/>
          <w:color w:val="0000FF"/>
          <w:sz w:val="44"/>
          <w:szCs w:val="44"/>
          <w:lang w:val="en-US" w:eastAsia="zh-CN"/>
        </w:rPr>
        <w:t>9</w:t>
      </w:r>
      <w:r>
        <w:rPr>
          <w:rFonts w:hint="eastAsia" w:asciiTheme="majorEastAsia" w:hAnsiTheme="majorEastAsia" w:eastAsiaTheme="majorEastAsia" w:cstheme="majorEastAsia"/>
          <w:color w:val="0000FF"/>
          <w:sz w:val="44"/>
          <w:szCs w:val="44"/>
        </w:rPr>
        <w:t>月</w:t>
      </w:r>
      <w:r>
        <w:rPr>
          <w:rFonts w:hint="eastAsia" w:ascii="宋体" w:hAnsi="宋体" w:cs="宋体"/>
          <w:b/>
          <w:w w:val="85"/>
          <w:kern w:val="0"/>
          <w:sz w:val="44"/>
          <w:szCs w:val="44"/>
        </w:rPr>
        <w:t>）</w:t>
      </w:r>
      <w:bookmarkEnd w:id="0"/>
    </w:p>
    <w:p>
      <w:pPr>
        <w:adjustRightInd w:val="0"/>
        <w:snapToGrid w:val="0"/>
        <w:spacing w:line="560" w:lineRule="exact"/>
        <w:jc w:val="center"/>
        <w:rPr>
          <w:rFonts w:ascii="宋体" w:cs="宋体"/>
          <w:b/>
          <w:w w:val="85"/>
          <w:kern w:val="0"/>
          <w:sz w:val="44"/>
          <w:szCs w:val="44"/>
        </w:rPr>
      </w:pPr>
      <w:r>
        <w:rPr>
          <w:rFonts w:hint="eastAsia" w:ascii="宋体" w:hAnsi="宋体" w:cs="宋体"/>
          <w:b/>
          <w:w w:val="85"/>
          <w:kern w:val="0"/>
          <w:sz w:val="44"/>
          <w:szCs w:val="44"/>
        </w:rPr>
        <w:t>目录</w:t>
      </w:r>
    </w:p>
    <w:p>
      <w:pPr>
        <w:adjustRightInd w:val="0"/>
        <w:snapToGrid w:val="0"/>
        <w:spacing w:line="560" w:lineRule="exact"/>
        <w:jc w:val="center"/>
        <w:rPr>
          <w:sz w:val="24"/>
          <w:szCs w:val="24"/>
        </w:rPr>
      </w:pPr>
    </w:p>
    <w:p>
      <w:pPr>
        <w:pStyle w:val="11"/>
        <w:tabs>
          <w:tab w:val="right" w:leader="dot" w:pos="8835"/>
        </w:tabs>
        <w:rPr>
          <w:rFonts w:asciiTheme="minorHAnsi" w:hAnsiTheme="minorHAnsi" w:eastAsiaTheme="minorEastAsia" w:cstheme="minorBidi"/>
        </w:rPr>
      </w:pPr>
      <w:r>
        <w:rPr>
          <w:rFonts w:ascii="仿宋" w:hAnsi="仿宋" w:eastAsia="仿宋" w:cs="仿宋"/>
          <w:sz w:val="24"/>
          <w:szCs w:val="24"/>
        </w:rPr>
        <w:fldChar w:fldCharType="begin"/>
      </w:r>
      <w:r>
        <w:rPr>
          <w:rFonts w:ascii="仿宋" w:hAnsi="仿宋" w:eastAsia="仿宋" w:cs="仿宋"/>
          <w:sz w:val="24"/>
          <w:szCs w:val="24"/>
        </w:rPr>
        <w:instrText xml:space="preserve">TOC \o "1-3" \h \u </w:instrText>
      </w:r>
      <w:r>
        <w:rPr>
          <w:rFonts w:ascii="仿宋" w:hAnsi="仿宋" w:eastAsia="仿宋" w:cs="仿宋"/>
          <w:sz w:val="24"/>
          <w:szCs w:val="24"/>
        </w:rPr>
        <w:fldChar w:fldCharType="separate"/>
      </w:r>
      <w:r>
        <w:fldChar w:fldCharType="begin"/>
      </w:r>
      <w:r>
        <w:instrText xml:space="preserve"> HYPERLINK \l "_Toc102806530" </w:instrText>
      </w:r>
      <w:r>
        <w:fldChar w:fldCharType="separate"/>
      </w:r>
      <w:r>
        <w:rPr>
          <w:rStyle w:val="19"/>
          <w:rFonts w:hint="eastAsia" w:ascii="黑体" w:hAnsi="黑体" w:eastAsia="黑体" w:cs="黑体"/>
          <w:color w:val="auto"/>
        </w:rPr>
        <w:t>一、基本条件</w:t>
      </w:r>
      <w:r>
        <w:tab/>
      </w:r>
      <w:r>
        <w:fldChar w:fldCharType="begin"/>
      </w:r>
      <w:r>
        <w:instrText xml:space="preserve"> PAGEREF _Toc102806530 \h </w:instrText>
      </w:r>
      <w:r>
        <w:fldChar w:fldCharType="separate"/>
      </w:r>
      <w:r>
        <w:t>1</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"_Toc102806531" </w:instrText>
      </w:r>
      <w:r>
        <w:fldChar w:fldCharType="separate"/>
      </w:r>
      <w:r>
        <w:rPr>
          <w:rStyle w:val="19"/>
          <w:rFonts w:hint="eastAsia" w:ascii="黑体" w:hAnsi="黑体" w:eastAsia="黑体" w:cs="黑体"/>
          <w:color w:val="auto"/>
        </w:rPr>
        <w:t>二、不得报考或取消报考（聘用）资格的情形</w:t>
      </w:r>
      <w:r>
        <w:tab/>
      </w:r>
      <w:r>
        <w:fldChar w:fldCharType="begin"/>
      </w:r>
      <w:r>
        <w:instrText xml:space="preserve"> PAGEREF _Toc102806531 \h </w:instrText>
      </w:r>
      <w:r>
        <w:fldChar w:fldCharType="separate"/>
      </w:r>
      <w:r>
        <w:t>1</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"_Toc102806532" </w:instrText>
      </w:r>
      <w:r>
        <w:fldChar w:fldCharType="separate"/>
      </w:r>
      <w:r>
        <w:rPr>
          <w:rStyle w:val="19"/>
          <w:rFonts w:hint="eastAsia" w:ascii="黑体" w:hAnsi="黑体" w:eastAsia="黑体" w:cs="黑体"/>
          <w:color w:val="auto"/>
        </w:rPr>
        <w:t>三、选报岗位</w:t>
      </w:r>
      <w:r>
        <w:tab/>
      </w:r>
      <w:r>
        <w:fldChar w:fldCharType="begin"/>
      </w:r>
      <w:r>
        <w:instrText xml:space="preserve"> PAGEREF _Toc102806532 \h </w:instrText>
      </w:r>
      <w:r>
        <w:fldChar w:fldCharType="separate"/>
      </w:r>
      <w:r>
        <w:t>2</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"_Toc102806533" </w:instrText>
      </w:r>
      <w:r>
        <w:fldChar w:fldCharType="separate"/>
      </w:r>
      <w:r>
        <w:rPr>
          <w:rStyle w:val="19"/>
          <w:rFonts w:hint="eastAsia" w:ascii="楷体_GB2312" w:hAnsi="楷体_GB2312" w:eastAsia="楷体_GB2312" w:cs="楷体_GB2312"/>
          <w:bCs/>
          <w:color w:val="auto"/>
        </w:rPr>
        <w:t>（一）报考资格条件确认</w:t>
      </w:r>
      <w:r>
        <w:tab/>
      </w:r>
      <w:r>
        <w:fldChar w:fldCharType="begin"/>
      </w:r>
      <w:r>
        <w:instrText xml:space="preserve"> PAGEREF _Toc102806533 \h </w:instrText>
      </w:r>
      <w:r>
        <w:fldChar w:fldCharType="separate"/>
      </w:r>
      <w:r>
        <w:t>2</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"_Toc102806534" </w:instrText>
      </w:r>
      <w:r>
        <w:fldChar w:fldCharType="separate"/>
      </w:r>
      <w:r>
        <w:rPr>
          <w:rStyle w:val="19"/>
          <w:rFonts w:hint="eastAsia" w:ascii="楷体_GB2312" w:hAnsi="楷体_GB2312" w:eastAsia="楷体_GB2312" w:cs="楷体_GB2312"/>
          <w:bCs/>
          <w:color w:val="auto"/>
        </w:rPr>
        <w:t>（二）</w:t>
      </w:r>
      <w:r>
        <w:rPr>
          <w:rStyle w:val="19"/>
          <w:rFonts w:hint="eastAsia" w:ascii="楷体_GB2312" w:hAnsi="楷体_GB2312" w:eastAsia="楷体_GB2312" w:cs="楷体_GB2312"/>
          <w:color w:val="auto"/>
        </w:rPr>
        <w:t>照片要求</w:t>
      </w:r>
      <w:r>
        <w:tab/>
      </w:r>
      <w:r>
        <w:fldChar w:fldCharType="begin"/>
      </w:r>
      <w:r>
        <w:instrText xml:space="preserve"> PAGEREF _Toc102806534 \h </w:instrText>
      </w:r>
      <w:r>
        <w:fldChar w:fldCharType="separate"/>
      </w:r>
      <w:r>
        <w:t>3</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"_Toc102806535" </w:instrText>
      </w:r>
      <w:r>
        <w:fldChar w:fldCharType="separate"/>
      </w:r>
      <w:r>
        <w:rPr>
          <w:rStyle w:val="19"/>
          <w:rFonts w:hint="eastAsia" w:ascii="楷体_GB2312" w:hAnsi="楷体_GB2312" w:eastAsia="楷体_GB2312" w:cs="楷体_GB2312"/>
          <w:bCs/>
          <w:color w:val="auto"/>
        </w:rPr>
        <w:t>（三）个人简历</w:t>
      </w:r>
      <w:r>
        <w:tab/>
      </w:r>
      <w:r>
        <w:fldChar w:fldCharType="begin"/>
      </w:r>
      <w:r>
        <w:instrText xml:space="preserve"> PAGEREF _Toc102806535 \h </w:instrText>
      </w:r>
      <w:r>
        <w:fldChar w:fldCharType="separate"/>
      </w:r>
      <w:r>
        <w:t>3</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"_Toc102806536" </w:instrText>
      </w:r>
      <w:r>
        <w:fldChar w:fldCharType="separate"/>
      </w:r>
      <w:r>
        <w:rPr>
          <w:rStyle w:val="19"/>
          <w:rFonts w:hint="eastAsia" w:ascii="楷体_GB2312" w:hAnsi="楷体_GB2312" w:eastAsia="楷体_GB2312" w:cs="楷体_GB2312"/>
          <w:bCs/>
          <w:color w:val="auto"/>
        </w:rPr>
        <w:t>（四）回避情形</w:t>
      </w:r>
      <w:r>
        <w:tab/>
      </w:r>
      <w:r>
        <w:fldChar w:fldCharType="begin"/>
      </w:r>
      <w:r>
        <w:instrText xml:space="preserve"> PAGEREF _Toc102806536 \h </w:instrText>
      </w:r>
      <w:r>
        <w:fldChar w:fldCharType="separate"/>
      </w:r>
      <w:r>
        <w:t>4</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"_Toc102806537" </w:instrText>
      </w:r>
      <w:r>
        <w:fldChar w:fldCharType="separate"/>
      </w:r>
      <w:r>
        <w:rPr>
          <w:rStyle w:val="19"/>
          <w:rFonts w:hint="eastAsia" w:ascii="黑体" w:hAnsi="黑体" w:eastAsia="黑体" w:cs="黑体"/>
          <w:color w:val="auto"/>
        </w:rPr>
        <w:t>四、年龄、资格（历）等的计算办法</w:t>
      </w:r>
      <w:r>
        <w:tab/>
      </w:r>
      <w:r>
        <w:fldChar w:fldCharType="begin"/>
      </w:r>
      <w:r>
        <w:instrText xml:space="preserve"> PAGEREF _Toc102806537 \h </w:instrText>
      </w:r>
      <w:r>
        <w:fldChar w:fldCharType="separate"/>
      </w:r>
      <w:r>
        <w:t>5</w:t>
      </w:r>
      <w:r>
        <w:fldChar w:fldCharType="end"/>
      </w:r>
      <w:r>
        <w:fldChar w:fldCharType="end"/>
      </w:r>
    </w:p>
    <w:p>
      <w:pPr>
        <w:pStyle w:val="11"/>
        <w:tabs>
          <w:tab w:val="right" w:leader="dot" w:pos="8835"/>
        </w:tabs>
        <w:ind w:firstLine="424" w:firstLineChars="202"/>
        <w:rPr>
          <w:rFonts w:asciiTheme="minorHAnsi" w:hAnsiTheme="minorHAnsi" w:eastAsiaTheme="minorEastAsia" w:cstheme="minorBidi"/>
        </w:rPr>
      </w:pPr>
      <w:r>
        <w:fldChar w:fldCharType="begin"/>
      </w:r>
      <w:r>
        <w:instrText xml:space="preserve"> HYPERLINK \l "_Toc102806538" </w:instrText>
      </w:r>
      <w:r>
        <w:fldChar w:fldCharType="separate"/>
      </w:r>
      <w:r>
        <w:rPr>
          <w:rStyle w:val="19"/>
          <w:rFonts w:hint="eastAsia" w:ascii="楷体" w:hAnsi="楷体" w:eastAsia="楷体"/>
          <w:color w:val="auto"/>
        </w:rPr>
        <w:t>（一）年龄</w:t>
      </w:r>
      <w:r>
        <w:tab/>
      </w:r>
      <w:r>
        <w:fldChar w:fldCharType="begin"/>
      </w:r>
      <w:r>
        <w:instrText xml:space="preserve"> PAGEREF _Toc102806538 \h </w:instrText>
      </w:r>
      <w:r>
        <w:fldChar w:fldCharType="separate"/>
      </w:r>
      <w:r>
        <w:t>5</w:t>
      </w:r>
      <w:r>
        <w:fldChar w:fldCharType="end"/>
      </w:r>
      <w:r>
        <w:fldChar w:fldCharType="end"/>
      </w:r>
    </w:p>
    <w:p>
      <w:pPr>
        <w:pStyle w:val="11"/>
        <w:tabs>
          <w:tab w:val="right" w:leader="dot" w:pos="8835"/>
        </w:tabs>
        <w:ind w:firstLine="424" w:firstLineChars="202"/>
        <w:rPr>
          <w:rFonts w:asciiTheme="minorHAnsi" w:hAnsiTheme="minorHAnsi" w:eastAsiaTheme="minorEastAsia" w:cstheme="minorBidi"/>
        </w:rPr>
      </w:pPr>
      <w:r>
        <w:fldChar w:fldCharType="begin"/>
      </w:r>
      <w:r>
        <w:instrText xml:space="preserve"> HYPERLINK \l "_Toc102806539" </w:instrText>
      </w:r>
      <w:r>
        <w:fldChar w:fldCharType="separate"/>
      </w:r>
      <w:r>
        <w:rPr>
          <w:rStyle w:val="19"/>
          <w:rFonts w:hint="eastAsia" w:ascii="楷体" w:hAnsi="楷体" w:eastAsia="楷体"/>
          <w:color w:val="auto"/>
        </w:rPr>
        <w:t>（二）资格（历）等</w:t>
      </w:r>
      <w:r>
        <w:tab/>
      </w:r>
      <w:r>
        <w:fldChar w:fldCharType="begin"/>
      </w:r>
      <w:r>
        <w:instrText xml:space="preserve"> PAGEREF _Toc102806539 \h </w:instrText>
      </w:r>
      <w:r>
        <w:fldChar w:fldCharType="separate"/>
      </w:r>
      <w:r>
        <w:t>5</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"_Toc102806540" </w:instrText>
      </w:r>
      <w:r>
        <w:fldChar w:fldCharType="separate"/>
      </w:r>
      <w:r>
        <w:rPr>
          <w:rStyle w:val="19"/>
          <w:rFonts w:hint="eastAsia" w:ascii="黑体" w:hAnsi="黑体" w:eastAsia="黑体" w:cs="黑体"/>
          <w:color w:val="auto"/>
        </w:rPr>
        <w:t>五、学历（位）认定</w:t>
      </w:r>
      <w:r>
        <w:tab/>
      </w:r>
      <w:r>
        <w:fldChar w:fldCharType="begin"/>
      </w:r>
      <w:r>
        <w:instrText xml:space="preserve"> PAGEREF _Toc102806540 \h </w:instrText>
      </w:r>
      <w:r>
        <w:fldChar w:fldCharType="separate"/>
      </w:r>
      <w:r>
        <w:t>5</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"_Toc102806541" </w:instrText>
      </w:r>
      <w:r>
        <w:fldChar w:fldCharType="separate"/>
      </w:r>
      <w:r>
        <w:rPr>
          <w:rStyle w:val="19"/>
          <w:rFonts w:hint="eastAsia" w:ascii="黑体" w:hAnsi="黑体" w:eastAsia="黑体" w:cs="黑体"/>
          <w:color w:val="auto"/>
        </w:rPr>
        <w:t>六、专业</w:t>
      </w:r>
      <w:r>
        <w:tab/>
      </w:r>
      <w:r>
        <w:fldChar w:fldCharType="begin"/>
      </w:r>
      <w:r>
        <w:instrText xml:space="preserve"> PAGEREF _Toc102806541 \h </w:instrText>
      </w:r>
      <w:r>
        <w:fldChar w:fldCharType="separate"/>
      </w:r>
      <w:r>
        <w:t>6</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"_Toc102806542" </w:instrText>
      </w:r>
      <w:r>
        <w:fldChar w:fldCharType="separate"/>
      </w:r>
      <w:r>
        <w:rPr>
          <w:rStyle w:val="19"/>
          <w:rFonts w:hint="eastAsia" w:ascii="楷体_GB2312" w:hAnsi="楷体_GB2312" w:eastAsia="楷体_GB2312" w:cs="楷体_GB2312"/>
          <w:bCs/>
          <w:color w:val="auto"/>
        </w:rPr>
        <w:t>（一）填报专业名称</w:t>
      </w:r>
      <w:r>
        <w:tab/>
      </w:r>
      <w:r>
        <w:fldChar w:fldCharType="begin"/>
      </w:r>
      <w:r>
        <w:instrText xml:space="preserve"> PAGEREF _Toc102806542 \h </w:instrText>
      </w:r>
      <w:r>
        <w:fldChar w:fldCharType="separate"/>
      </w:r>
      <w:r>
        <w:t>6</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"_Toc102806543" </w:instrText>
      </w:r>
      <w:r>
        <w:fldChar w:fldCharType="separate"/>
      </w:r>
      <w:r>
        <w:rPr>
          <w:rStyle w:val="19"/>
          <w:rFonts w:hint="eastAsia" w:ascii="楷体_GB2312" w:hAnsi="楷体_GB2312" w:eastAsia="楷体_GB2312" w:cs="楷体_GB2312"/>
          <w:bCs/>
          <w:color w:val="auto"/>
        </w:rPr>
        <w:t>（二）专业与学历（位）的对应关系</w:t>
      </w:r>
      <w:r>
        <w:tab/>
      </w:r>
      <w:r>
        <w:fldChar w:fldCharType="begin"/>
      </w:r>
      <w:r>
        <w:instrText xml:space="preserve"> PAGEREF _Toc102806543 \h </w:instrText>
      </w:r>
      <w:r>
        <w:fldChar w:fldCharType="separate"/>
      </w:r>
      <w:r>
        <w:t>7</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"_Toc102806544" </w:instrText>
      </w:r>
      <w:r>
        <w:fldChar w:fldCharType="separate"/>
      </w:r>
      <w:r>
        <w:rPr>
          <w:rStyle w:val="19"/>
          <w:rFonts w:hint="eastAsia" w:ascii="楷体_GB2312" w:hAnsi="楷体_GB2312" w:eastAsia="楷体_GB2312" w:cs="楷体_GB2312"/>
          <w:color w:val="auto"/>
        </w:rPr>
        <w:t>（三）专业资格的认定</w:t>
      </w:r>
      <w:r>
        <w:tab/>
      </w:r>
      <w:r>
        <w:fldChar w:fldCharType="begin"/>
      </w:r>
      <w:r>
        <w:instrText xml:space="preserve"> PAGEREF _Toc102806544 \h </w:instrText>
      </w:r>
      <w:r>
        <w:fldChar w:fldCharType="separate"/>
      </w:r>
      <w:r>
        <w:t>7</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"_Toc102806545" </w:instrText>
      </w:r>
      <w:r>
        <w:fldChar w:fldCharType="separate"/>
      </w:r>
      <w:r>
        <w:rPr>
          <w:rStyle w:val="19"/>
          <w:rFonts w:hint="eastAsia" w:ascii="黑体" w:hAnsi="黑体" w:eastAsia="黑体" w:cs="黑体"/>
          <w:color w:val="auto"/>
        </w:rPr>
        <w:t>七、工作经</w:t>
      </w:r>
      <w:r>
        <w:rPr>
          <w:rStyle w:val="19"/>
          <w:rFonts w:hint="eastAsia" w:ascii="黑体" w:hAnsi="黑体" w:eastAsia="黑体" w:cs="黑体"/>
          <w:color w:val="auto"/>
          <w:lang w:eastAsia="zh-CN"/>
        </w:rPr>
        <w:t>历（</w:t>
      </w:r>
      <w:r>
        <w:rPr>
          <w:rStyle w:val="19"/>
          <w:rFonts w:hint="eastAsia" w:ascii="黑体" w:hAnsi="黑体" w:eastAsia="黑体" w:cs="黑体"/>
          <w:color w:val="auto"/>
        </w:rPr>
        <w:t>验</w:t>
      </w:r>
      <w:r>
        <w:rPr>
          <w:rStyle w:val="19"/>
          <w:rFonts w:hint="eastAsia" w:ascii="黑体" w:hAnsi="黑体" w:eastAsia="黑体" w:cs="黑体"/>
          <w:color w:val="auto"/>
          <w:lang w:eastAsia="zh-CN"/>
        </w:rPr>
        <w:t>）</w:t>
      </w:r>
      <w:r>
        <w:tab/>
      </w:r>
      <w:r>
        <w:fldChar w:fldCharType="begin"/>
      </w:r>
      <w:r>
        <w:instrText xml:space="preserve"> PAGEREF _Toc102806545 \h </w:instrText>
      </w:r>
      <w:r>
        <w:fldChar w:fldCharType="separate"/>
      </w:r>
      <w:r>
        <w:t>8</w:t>
      </w:r>
      <w:r>
        <w:fldChar w:fldCharType="end"/>
      </w:r>
      <w:r>
        <w:fldChar w:fldCharType="end"/>
      </w:r>
    </w:p>
    <w:p>
      <w:pPr>
        <w:pStyle w:val="13"/>
        <w:tabs>
          <w:tab w:val="right" w:leader="dot" w:pos="8835"/>
        </w:tabs>
        <w:ind w:leftChars="0" w:hanging="420" w:hangingChars="200"/>
        <w:rPr>
          <w:rFonts w:asciiTheme="minorHAnsi" w:hAnsiTheme="minorHAnsi" w:eastAsiaTheme="minorEastAsia" w:cstheme="minorBidi"/>
        </w:rPr>
      </w:pPr>
      <w:r>
        <w:fldChar w:fldCharType="begin"/>
      </w:r>
      <w:r>
        <w:instrText xml:space="preserve"> HYPERLINK \l "_Toc102806546" </w:instrText>
      </w:r>
      <w:r>
        <w:fldChar w:fldCharType="separate"/>
      </w:r>
      <w:r>
        <w:rPr>
          <w:rStyle w:val="19"/>
          <w:rFonts w:hint="eastAsia" w:ascii="黑体" w:hAnsi="黑体" w:eastAsia="黑体" w:cs="黑体"/>
          <w:color w:val="auto"/>
        </w:rPr>
        <w:t>八、可免笔试情形</w:t>
      </w:r>
      <w:r>
        <w:tab/>
      </w:r>
      <w:r>
        <w:fldChar w:fldCharType="begin"/>
      </w:r>
      <w:r>
        <w:instrText xml:space="preserve"> PAGEREF _Toc102806546 \h </w:instrText>
      </w:r>
      <w:r>
        <w:fldChar w:fldCharType="separate"/>
      </w:r>
      <w:r>
        <w:t>9</w:t>
      </w:r>
      <w:r>
        <w:fldChar w:fldCharType="end"/>
      </w:r>
      <w:r>
        <w:fldChar w:fldCharType="end"/>
      </w:r>
    </w:p>
    <w:p>
      <w:pPr>
        <w:pStyle w:val="13"/>
        <w:tabs>
          <w:tab w:val="right" w:leader="dot" w:pos="8835"/>
        </w:tabs>
        <w:ind w:leftChars="0" w:hanging="420" w:hangingChars="200"/>
        <w:rPr>
          <w:rFonts w:asciiTheme="minorHAnsi" w:hAnsiTheme="minorHAnsi" w:eastAsiaTheme="minorEastAsia" w:cstheme="minorBidi"/>
        </w:rPr>
      </w:pPr>
      <w:r>
        <w:fldChar w:fldCharType="begin"/>
      </w:r>
      <w:r>
        <w:instrText xml:space="preserve"> HYPERLINK \l "_Toc102806547" </w:instrText>
      </w:r>
      <w:r>
        <w:fldChar w:fldCharType="separate"/>
      </w:r>
      <w:r>
        <w:rPr>
          <w:rStyle w:val="19"/>
          <w:rFonts w:hint="eastAsia" w:ascii="黑体" w:hAnsi="黑体" w:eastAsia="黑体" w:cs="黑体"/>
          <w:color w:val="auto"/>
        </w:rPr>
        <w:t>九、岗位开考比例</w:t>
      </w:r>
      <w:r>
        <w:tab/>
      </w:r>
      <w:r>
        <w:fldChar w:fldCharType="begin"/>
      </w:r>
      <w:r>
        <w:instrText xml:space="preserve"> PAGEREF _Toc102806547 \h </w:instrText>
      </w:r>
      <w:r>
        <w:fldChar w:fldCharType="separate"/>
      </w:r>
      <w:r>
        <w:t>9</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"_Toc102806548" </w:instrText>
      </w:r>
      <w:r>
        <w:fldChar w:fldCharType="separate"/>
      </w:r>
      <w:r>
        <w:rPr>
          <w:rStyle w:val="19"/>
          <w:rFonts w:hint="eastAsia" w:ascii="黑体" w:hAnsi="黑体" w:eastAsia="黑体" w:cs="黑体"/>
          <w:color w:val="auto"/>
        </w:rPr>
        <w:t>十、笔试加分</w:t>
      </w:r>
      <w:r>
        <w:tab/>
      </w:r>
      <w:r>
        <w:fldChar w:fldCharType="begin"/>
      </w:r>
      <w:r>
        <w:instrText xml:space="preserve"> PAGEREF _Toc102806548 \h </w:instrText>
      </w:r>
      <w:r>
        <w:fldChar w:fldCharType="separate"/>
      </w:r>
      <w:r>
        <w:t>9</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"_Toc102806549" </w:instrText>
      </w:r>
      <w:r>
        <w:fldChar w:fldCharType="separate"/>
      </w:r>
      <w:r>
        <w:rPr>
          <w:rStyle w:val="19"/>
          <w:rFonts w:hint="eastAsia" w:ascii="楷体_GB2312" w:hAnsi="楷体_GB2312" w:eastAsia="楷体_GB2312" w:cs="楷体_GB2312"/>
          <w:color w:val="auto"/>
        </w:rPr>
        <w:t>（一）加分原则</w:t>
      </w:r>
      <w:r>
        <w:tab/>
      </w:r>
      <w:r>
        <w:fldChar w:fldCharType="begin"/>
      </w:r>
      <w:r>
        <w:instrText xml:space="preserve"> PAGEREF _Toc102806549 \h </w:instrText>
      </w:r>
      <w:r>
        <w:fldChar w:fldCharType="separate"/>
      </w:r>
      <w:r>
        <w:t>9</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"_Toc102806550" </w:instrText>
      </w:r>
      <w:r>
        <w:fldChar w:fldCharType="separate"/>
      </w:r>
      <w:r>
        <w:rPr>
          <w:rStyle w:val="19"/>
          <w:rFonts w:hint="eastAsia" w:ascii="楷体_GB2312" w:hAnsi="楷体_GB2312" w:eastAsia="楷体_GB2312" w:cs="楷体_GB2312"/>
          <w:color w:val="auto"/>
        </w:rPr>
        <w:t>（二）加分对象</w:t>
      </w:r>
      <w:r>
        <w:tab/>
      </w:r>
      <w:r>
        <w:fldChar w:fldCharType="begin"/>
      </w:r>
      <w:r>
        <w:instrText xml:space="preserve"> PAGEREF _Toc102806550 \h </w:instrText>
      </w:r>
      <w:r>
        <w:fldChar w:fldCharType="separate"/>
      </w:r>
      <w:r>
        <w:t>10</w:t>
      </w:r>
      <w:r>
        <w:fldChar w:fldCharType="end"/>
      </w:r>
      <w:r>
        <w:fldChar w:fldCharType="end"/>
      </w:r>
    </w:p>
    <w:p>
      <w:pPr>
        <w:pStyle w:val="7"/>
        <w:tabs>
          <w:tab w:val="right" w:leader="dot" w:pos="8835"/>
        </w:tabs>
        <w:rPr>
          <w:rFonts w:asciiTheme="minorHAnsi" w:hAnsiTheme="minorHAnsi" w:eastAsiaTheme="minorEastAsia" w:cstheme="minorBidi"/>
        </w:rPr>
      </w:pPr>
      <w:r>
        <w:fldChar w:fldCharType="begin"/>
      </w:r>
      <w:r>
        <w:instrText xml:space="preserve"> HYPERLINK \l "_Toc102806551" </w:instrText>
      </w:r>
      <w:r>
        <w:fldChar w:fldCharType="separate"/>
      </w:r>
      <w:r>
        <w:rPr>
          <w:rStyle w:val="19"/>
          <w:rFonts w:ascii="仿宋_GB2312" w:hAnsi="仿宋_GB2312" w:eastAsia="仿宋_GB2312" w:cs="仿宋_GB2312"/>
          <w:bCs/>
          <w:color w:val="auto"/>
        </w:rPr>
        <w:t>1.</w:t>
      </w:r>
      <w:r>
        <w:rPr>
          <w:rStyle w:val="19"/>
          <w:rFonts w:hint="eastAsia" w:ascii="仿宋_GB2312" w:hAnsi="仿宋_GB2312" w:eastAsia="仿宋_GB2312" w:cs="仿宋_GB2312"/>
          <w:bCs/>
          <w:color w:val="auto"/>
        </w:rPr>
        <w:t>服务基层项目高校毕业人员</w:t>
      </w:r>
      <w:r>
        <w:tab/>
      </w:r>
      <w:r>
        <w:fldChar w:fldCharType="begin"/>
      </w:r>
      <w:r>
        <w:instrText xml:space="preserve"> PAGEREF _Toc102806551 \h </w:instrText>
      </w:r>
      <w:r>
        <w:fldChar w:fldCharType="separate"/>
      </w:r>
      <w:r>
        <w:t>10</w:t>
      </w:r>
      <w:r>
        <w:fldChar w:fldCharType="end"/>
      </w:r>
      <w:r>
        <w:fldChar w:fldCharType="end"/>
      </w:r>
    </w:p>
    <w:p>
      <w:pPr>
        <w:pStyle w:val="7"/>
        <w:tabs>
          <w:tab w:val="right" w:leader="dot" w:pos="8835"/>
        </w:tabs>
        <w:rPr>
          <w:rFonts w:asciiTheme="minorHAnsi" w:hAnsiTheme="minorHAnsi" w:eastAsiaTheme="minorEastAsia" w:cstheme="minorBidi"/>
        </w:rPr>
      </w:pPr>
      <w:r>
        <w:fldChar w:fldCharType="begin"/>
      </w:r>
      <w:r>
        <w:instrText xml:space="preserve"> HYPERLINK \l "_Toc102806552" </w:instrText>
      </w:r>
      <w:r>
        <w:fldChar w:fldCharType="separate"/>
      </w:r>
      <w:r>
        <w:rPr>
          <w:rStyle w:val="19"/>
          <w:rFonts w:ascii="仿宋_GB2312" w:hAnsi="仿宋_GB2312" w:eastAsia="仿宋_GB2312" w:cs="仿宋_GB2312"/>
          <w:bCs/>
          <w:color w:val="auto"/>
        </w:rPr>
        <w:t>2.</w:t>
      </w:r>
      <w:r>
        <w:rPr>
          <w:rStyle w:val="19"/>
          <w:rFonts w:hint="eastAsia" w:ascii="仿宋_GB2312" w:hAnsi="仿宋_GB2312" w:eastAsia="仿宋_GB2312" w:cs="仿宋_GB2312"/>
          <w:bCs/>
          <w:color w:val="auto"/>
        </w:rPr>
        <w:t>退役士兵（含大学生退役士兵）</w:t>
      </w:r>
      <w:r>
        <w:tab/>
      </w:r>
      <w:r>
        <w:fldChar w:fldCharType="begin"/>
      </w:r>
      <w:r>
        <w:instrText xml:space="preserve"> PAGEREF _Toc102806552 \h </w:instrText>
      </w:r>
      <w:r>
        <w:fldChar w:fldCharType="separate"/>
      </w:r>
      <w:r>
        <w:t>10</w:t>
      </w:r>
      <w:r>
        <w:fldChar w:fldCharType="end"/>
      </w:r>
      <w:r>
        <w:fldChar w:fldCharType="end"/>
      </w:r>
    </w:p>
    <w:p>
      <w:pPr>
        <w:pStyle w:val="7"/>
        <w:tabs>
          <w:tab w:val="right" w:leader="dot" w:pos="8835"/>
        </w:tabs>
        <w:rPr>
          <w:rFonts w:asciiTheme="minorHAnsi" w:hAnsiTheme="minorHAnsi" w:eastAsiaTheme="minorEastAsia" w:cstheme="minorBidi"/>
        </w:rPr>
      </w:pPr>
      <w:r>
        <w:fldChar w:fldCharType="begin"/>
      </w:r>
      <w:r>
        <w:instrText xml:space="preserve"> HYPERLINK \l "_Toc102806553" </w:instrText>
      </w:r>
      <w:r>
        <w:fldChar w:fldCharType="separate"/>
      </w:r>
      <w:r>
        <w:rPr>
          <w:rStyle w:val="19"/>
          <w:rFonts w:ascii="仿宋_GB2312" w:hAnsi="仿宋_GB2312" w:eastAsia="仿宋_GB2312" w:cs="仿宋_GB2312"/>
          <w:bCs/>
          <w:color w:val="auto"/>
        </w:rPr>
        <w:t>3.</w:t>
      </w:r>
      <w:r>
        <w:rPr>
          <w:rStyle w:val="19"/>
          <w:rFonts w:hint="eastAsia" w:ascii="仿宋_GB2312" w:hAnsi="仿宋_GB2312" w:eastAsia="仿宋_GB2312" w:cs="仿宋_GB2312"/>
          <w:bCs/>
          <w:color w:val="auto"/>
        </w:rPr>
        <w:t>退役优秀运动员</w:t>
      </w:r>
      <w:r>
        <w:tab/>
      </w:r>
      <w:r>
        <w:fldChar w:fldCharType="begin"/>
      </w:r>
      <w:r>
        <w:instrText xml:space="preserve"> PAGEREF _Toc102806553 \h </w:instrText>
      </w:r>
      <w:r>
        <w:fldChar w:fldCharType="separate"/>
      </w:r>
      <w:r>
        <w:t>11</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"_Toc102806554" </w:instrText>
      </w:r>
      <w:r>
        <w:fldChar w:fldCharType="separate"/>
      </w:r>
      <w:r>
        <w:rPr>
          <w:rStyle w:val="19"/>
          <w:rFonts w:hint="eastAsia" w:ascii="楷体" w:hAnsi="楷体" w:eastAsia="楷体" w:cs="楷体"/>
          <w:bCs/>
          <w:color w:val="auto"/>
        </w:rPr>
        <w:t>（三）加分证明材料</w:t>
      </w:r>
      <w:r>
        <w:tab/>
      </w:r>
      <w:r>
        <w:fldChar w:fldCharType="begin"/>
      </w:r>
      <w:r>
        <w:instrText xml:space="preserve"> PAGEREF _Toc102806554 \h </w:instrText>
      </w:r>
      <w:r>
        <w:fldChar w:fldCharType="separate"/>
      </w:r>
      <w:r>
        <w:t>11</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"_Toc102806555" </w:instrText>
      </w:r>
      <w:r>
        <w:fldChar w:fldCharType="separate"/>
      </w:r>
      <w:r>
        <w:rPr>
          <w:rStyle w:val="19"/>
          <w:rFonts w:hint="eastAsia" w:ascii="黑体" w:hAnsi="黑体" w:eastAsia="黑体" w:cs="黑体"/>
          <w:color w:val="auto"/>
        </w:rPr>
        <w:t>十一、综合总分计算</w:t>
      </w:r>
      <w:r>
        <w:tab/>
      </w:r>
      <w:r>
        <w:fldChar w:fldCharType="begin"/>
      </w:r>
      <w:r>
        <w:instrText xml:space="preserve"> PAGEREF _Toc102806555 \h </w:instrText>
      </w:r>
      <w:r>
        <w:fldChar w:fldCharType="separate"/>
      </w:r>
      <w:r>
        <w:t>12</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"_Toc102806556" </w:instrText>
      </w:r>
      <w:r>
        <w:fldChar w:fldCharType="separate"/>
      </w:r>
      <w:r>
        <w:rPr>
          <w:rStyle w:val="19"/>
          <w:rFonts w:hint="eastAsia" w:ascii="黑体" w:hAnsi="黑体" w:eastAsia="黑体" w:cs="黑体"/>
          <w:color w:val="auto"/>
        </w:rPr>
        <w:t>十二、体检和考察</w:t>
      </w:r>
      <w:r>
        <w:tab/>
      </w:r>
      <w:r>
        <w:fldChar w:fldCharType="begin"/>
      </w:r>
      <w:r>
        <w:instrText xml:space="preserve"> PAGEREF _Toc102806556 \h </w:instrText>
      </w:r>
      <w:r>
        <w:fldChar w:fldCharType="separate"/>
      </w:r>
      <w:r>
        <w:t>12</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"_Toc102806557" </w:instrText>
      </w:r>
      <w:r>
        <w:fldChar w:fldCharType="separate"/>
      </w:r>
      <w:r>
        <w:rPr>
          <w:rStyle w:val="19"/>
          <w:rFonts w:hint="eastAsia" w:ascii="楷体_GB2312" w:hAnsi="楷体_GB2312" w:eastAsia="楷体_GB2312" w:cs="楷体_GB2312"/>
          <w:color w:val="auto"/>
        </w:rPr>
        <w:t>（一）确定体检人选</w:t>
      </w:r>
      <w:r>
        <w:tab/>
      </w:r>
      <w:r>
        <w:fldChar w:fldCharType="begin"/>
      </w:r>
      <w:r>
        <w:instrText xml:space="preserve"> PAGEREF _Toc102806557 \h </w:instrText>
      </w:r>
      <w:r>
        <w:fldChar w:fldCharType="separate"/>
      </w:r>
      <w:r>
        <w:t>12</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"_Toc102806558" </w:instrText>
      </w:r>
      <w:r>
        <w:fldChar w:fldCharType="separate"/>
      </w:r>
      <w:r>
        <w:rPr>
          <w:rStyle w:val="19"/>
          <w:rFonts w:hint="eastAsia" w:ascii="楷体_GB2312" w:hAnsi="楷体_GB2312" w:eastAsia="楷体_GB2312" w:cs="楷体_GB2312"/>
          <w:color w:val="auto"/>
        </w:rPr>
        <w:t>（二）组织体检</w:t>
      </w:r>
      <w:r>
        <w:tab/>
      </w:r>
      <w:r>
        <w:fldChar w:fldCharType="begin"/>
      </w:r>
      <w:r>
        <w:instrText xml:space="preserve"> PAGEREF _Toc102806558 \h </w:instrText>
      </w:r>
      <w:r>
        <w:fldChar w:fldCharType="separate"/>
      </w:r>
      <w:r>
        <w:t>12</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"_Toc102806559" </w:instrText>
      </w:r>
      <w:r>
        <w:fldChar w:fldCharType="separate"/>
      </w:r>
      <w:r>
        <w:rPr>
          <w:rStyle w:val="19"/>
          <w:rFonts w:hint="eastAsia" w:ascii="楷体_GB2312" w:hAnsi="楷体_GB2312" w:eastAsia="楷体_GB2312" w:cs="楷体_GB2312"/>
          <w:color w:val="auto"/>
        </w:rPr>
        <w:t>（三）体检依据</w:t>
      </w:r>
      <w:r>
        <w:tab/>
      </w:r>
      <w:r>
        <w:fldChar w:fldCharType="begin"/>
      </w:r>
      <w:r>
        <w:instrText xml:space="preserve"> PAGEREF _Toc102806559 \h </w:instrText>
      </w:r>
      <w:r>
        <w:fldChar w:fldCharType="separate"/>
      </w:r>
      <w:r>
        <w:t>13</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"_Toc102806560" </w:instrText>
      </w:r>
      <w:r>
        <w:fldChar w:fldCharType="separate"/>
      </w:r>
      <w:r>
        <w:rPr>
          <w:rStyle w:val="19"/>
          <w:rFonts w:hint="eastAsia" w:ascii="楷体_GB2312" w:hAnsi="楷体_GB2312" w:eastAsia="楷体_GB2312" w:cs="楷体_GB2312"/>
          <w:color w:val="auto"/>
        </w:rPr>
        <w:t>（四）体检复检</w:t>
      </w:r>
      <w:r>
        <w:tab/>
      </w:r>
      <w:r>
        <w:fldChar w:fldCharType="begin"/>
      </w:r>
      <w:r>
        <w:instrText xml:space="preserve"> PAGEREF _Toc102806560 \h </w:instrText>
      </w:r>
      <w:r>
        <w:fldChar w:fldCharType="separate"/>
      </w:r>
      <w:r>
        <w:t>13</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"_Toc102806561" </w:instrText>
      </w:r>
      <w:r>
        <w:fldChar w:fldCharType="separate"/>
      </w:r>
      <w:r>
        <w:rPr>
          <w:rStyle w:val="19"/>
          <w:rFonts w:hint="eastAsia" w:ascii="楷体_GB2312" w:hAnsi="楷体_GB2312" w:eastAsia="楷体_GB2312" w:cs="楷体_GB2312"/>
          <w:color w:val="auto"/>
        </w:rPr>
        <w:t>（五）可延迟体检的情形</w:t>
      </w:r>
      <w:r>
        <w:tab/>
      </w:r>
      <w:r>
        <w:fldChar w:fldCharType="begin"/>
      </w:r>
      <w:r>
        <w:instrText xml:space="preserve"> PAGEREF _Toc102806561 \h </w:instrText>
      </w:r>
      <w:r>
        <w:fldChar w:fldCharType="separate"/>
      </w:r>
      <w:r>
        <w:t>14</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"_Toc102806562" </w:instrText>
      </w:r>
      <w:r>
        <w:fldChar w:fldCharType="separate"/>
      </w:r>
      <w:r>
        <w:rPr>
          <w:rStyle w:val="19"/>
          <w:rFonts w:hint="eastAsia" w:ascii="楷体_GB2312" w:hAnsi="楷体_GB2312" w:eastAsia="楷体_GB2312" w:cs="楷体_GB2312"/>
          <w:color w:val="auto"/>
        </w:rPr>
        <w:t>（六）考察</w:t>
      </w:r>
      <w:r>
        <w:tab/>
      </w:r>
      <w:r>
        <w:fldChar w:fldCharType="begin"/>
      </w:r>
      <w:r>
        <w:instrText xml:space="preserve"> PAGEREF _Toc102806562 \h </w:instrText>
      </w:r>
      <w:r>
        <w:fldChar w:fldCharType="separate"/>
      </w:r>
      <w:r>
        <w:t>14</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"_Toc102806563" </w:instrText>
      </w:r>
      <w:r>
        <w:fldChar w:fldCharType="separate"/>
      </w:r>
      <w:r>
        <w:rPr>
          <w:rStyle w:val="19"/>
          <w:rFonts w:hint="eastAsia" w:ascii="黑体" w:hAnsi="黑体" w:eastAsia="黑体" w:cs="黑体"/>
          <w:color w:val="auto"/>
        </w:rPr>
        <w:t>十三、公示</w:t>
      </w:r>
      <w:r>
        <w:tab/>
      </w:r>
      <w:r>
        <w:fldChar w:fldCharType="begin"/>
      </w:r>
      <w:r>
        <w:instrText xml:space="preserve"> PAGEREF _Toc102806563 \h </w:instrText>
      </w:r>
      <w:r>
        <w:fldChar w:fldCharType="separate"/>
      </w:r>
      <w:r>
        <w:t>14</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"_Toc102806564" </w:instrText>
      </w:r>
      <w:r>
        <w:fldChar w:fldCharType="separate"/>
      </w:r>
      <w:r>
        <w:rPr>
          <w:rStyle w:val="19"/>
          <w:rFonts w:hint="eastAsia" w:ascii="黑体" w:hAnsi="黑体" w:eastAsia="黑体" w:cs="黑体"/>
          <w:color w:val="auto"/>
        </w:rPr>
        <w:t>十四、聘用办理</w:t>
      </w:r>
      <w:r>
        <w:tab/>
      </w:r>
      <w:r>
        <w:fldChar w:fldCharType="begin"/>
      </w:r>
      <w:r>
        <w:instrText xml:space="preserve"> PAGEREF _Toc102806564 \h </w:instrText>
      </w:r>
      <w:r>
        <w:fldChar w:fldCharType="separate"/>
      </w:r>
      <w:r>
        <w:t>14</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"_Toc102806565" </w:instrText>
      </w:r>
      <w:r>
        <w:fldChar w:fldCharType="separate"/>
      </w:r>
      <w:r>
        <w:rPr>
          <w:rStyle w:val="19"/>
          <w:rFonts w:hint="eastAsia" w:ascii="楷体_GB2312" w:hAnsi="楷体_GB2312" w:eastAsia="楷体_GB2312" w:cs="楷体_GB2312"/>
          <w:color w:val="auto"/>
        </w:rPr>
        <w:t>（一）聘用手续办理</w:t>
      </w:r>
      <w:r>
        <w:tab/>
      </w:r>
      <w:r>
        <w:fldChar w:fldCharType="begin"/>
      </w:r>
      <w:r>
        <w:instrText xml:space="preserve"> PAGEREF _Toc102806565 \h </w:instrText>
      </w:r>
      <w:r>
        <w:fldChar w:fldCharType="separate"/>
      </w:r>
      <w:r>
        <w:t>14</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"_Toc102806566" </w:instrText>
      </w:r>
      <w:r>
        <w:fldChar w:fldCharType="separate"/>
      </w:r>
      <w:r>
        <w:rPr>
          <w:rStyle w:val="19"/>
          <w:rFonts w:hint="eastAsia" w:ascii="楷体_GB2312" w:hAnsi="楷体_GB2312" w:eastAsia="楷体_GB2312" w:cs="楷体_GB2312"/>
          <w:color w:val="auto"/>
        </w:rPr>
        <w:t>（二）岗位聘任</w:t>
      </w:r>
      <w:r>
        <w:tab/>
      </w:r>
      <w:r>
        <w:fldChar w:fldCharType="begin"/>
      </w:r>
      <w:r>
        <w:instrText xml:space="preserve"> PAGEREF _Toc102806566 \h </w:instrText>
      </w:r>
      <w:r>
        <w:fldChar w:fldCharType="separate"/>
      </w:r>
      <w:r>
        <w:t>15</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"_Toc102806567" </w:instrText>
      </w:r>
      <w:r>
        <w:fldChar w:fldCharType="separate"/>
      </w:r>
      <w:r>
        <w:rPr>
          <w:rStyle w:val="19"/>
          <w:rFonts w:hint="eastAsia" w:ascii="黑体" w:hAnsi="黑体" w:eastAsia="黑体" w:cs="黑体"/>
          <w:color w:val="auto"/>
        </w:rPr>
        <w:t>十五、其他需说明事项</w:t>
      </w:r>
      <w:r>
        <w:tab/>
      </w:r>
      <w:r>
        <w:fldChar w:fldCharType="begin"/>
      </w:r>
      <w:r>
        <w:instrText xml:space="preserve"> PAGEREF _Toc102806567 \h </w:instrText>
      </w:r>
      <w:r>
        <w:fldChar w:fldCharType="separate"/>
      </w:r>
      <w:r>
        <w:t>15</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"_Toc102806568" </w:instrText>
      </w:r>
      <w:r>
        <w:fldChar w:fldCharType="separate"/>
      </w:r>
      <w:r>
        <w:rPr>
          <w:rStyle w:val="19"/>
          <w:rFonts w:hint="eastAsia" w:ascii="楷体_GB2312" w:hAnsi="楷体_GB2312" w:eastAsia="楷体_GB2312" w:cs="楷体_GB2312"/>
          <w:color w:val="auto"/>
        </w:rPr>
        <w:t>（一）职称（专业技术职务任职资格）</w:t>
      </w:r>
      <w:r>
        <w:tab/>
      </w:r>
      <w:r>
        <w:fldChar w:fldCharType="begin"/>
      </w:r>
      <w:r>
        <w:instrText xml:space="preserve"> PAGEREF _Toc102806568 \h </w:instrText>
      </w:r>
      <w:r>
        <w:fldChar w:fldCharType="separate"/>
      </w:r>
      <w:r>
        <w:t>15</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"_Toc102806569" </w:instrText>
      </w:r>
      <w:r>
        <w:fldChar w:fldCharType="separate"/>
      </w:r>
      <w:r>
        <w:rPr>
          <w:rStyle w:val="19"/>
          <w:rFonts w:hint="eastAsia" w:ascii="楷体_GB2312" w:hAnsi="楷体_GB2312" w:eastAsia="楷体_GB2312" w:cs="楷体_GB2312"/>
          <w:color w:val="auto"/>
        </w:rPr>
        <w:t>（二）规范化培训</w:t>
      </w:r>
      <w:r>
        <w:tab/>
      </w:r>
      <w:r>
        <w:fldChar w:fldCharType="begin"/>
      </w:r>
      <w:r>
        <w:instrText xml:space="preserve"> PAGEREF _Toc102806569 \h </w:instrText>
      </w:r>
      <w:r>
        <w:fldChar w:fldCharType="separate"/>
      </w:r>
      <w:r>
        <w:t>16</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"_Toc102806570" </w:instrText>
      </w:r>
      <w:r>
        <w:fldChar w:fldCharType="separate"/>
      </w:r>
      <w:r>
        <w:rPr>
          <w:rStyle w:val="19"/>
          <w:rFonts w:hint="eastAsia" w:ascii="楷体_GB2312" w:hAnsi="楷体_GB2312" w:eastAsia="楷体_GB2312" w:cs="楷体_GB2312"/>
          <w:color w:val="auto"/>
        </w:rPr>
        <w:t>（三）生源</w:t>
      </w:r>
      <w:r>
        <w:tab/>
      </w:r>
      <w:r>
        <w:fldChar w:fldCharType="begin"/>
      </w:r>
      <w:r>
        <w:instrText xml:space="preserve"> PAGEREF _Toc102806570 \h </w:instrText>
      </w:r>
      <w:r>
        <w:fldChar w:fldCharType="separate"/>
      </w:r>
      <w:r>
        <w:t>16</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"_Toc102806571" </w:instrText>
      </w:r>
      <w:r>
        <w:fldChar w:fldCharType="separate"/>
      </w:r>
      <w:r>
        <w:rPr>
          <w:rStyle w:val="19"/>
          <w:rFonts w:hint="eastAsia" w:ascii="楷体_GB2312" w:hAnsi="楷体_GB2312" w:eastAsia="楷体_GB2312" w:cs="楷体_GB2312"/>
          <w:color w:val="auto"/>
        </w:rPr>
        <w:t>（四）港澳台人员</w:t>
      </w:r>
      <w:r>
        <w:tab/>
      </w:r>
      <w:r>
        <w:fldChar w:fldCharType="begin"/>
      </w:r>
      <w:r>
        <w:instrText xml:space="preserve"> PAGEREF _Toc102806571 \h </w:instrText>
      </w:r>
      <w:r>
        <w:fldChar w:fldCharType="separate"/>
      </w:r>
      <w:r>
        <w:t>17</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"_Toc102806572" </w:instrText>
      </w:r>
      <w:r>
        <w:fldChar w:fldCharType="separate"/>
      </w:r>
      <w:r>
        <w:rPr>
          <w:rStyle w:val="19"/>
          <w:rFonts w:hint="eastAsia" w:ascii="楷体_GB2312" w:hAnsi="楷体_GB2312" w:eastAsia="楷体_GB2312" w:cs="楷体_GB2312"/>
          <w:color w:val="auto"/>
        </w:rPr>
        <w:t>（五）技工院校毕业生</w:t>
      </w:r>
      <w:r>
        <w:tab/>
      </w:r>
      <w:r>
        <w:fldChar w:fldCharType="begin"/>
      </w:r>
      <w:r>
        <w:instrText xml:space="preserve"> PAGEREF _Toc102806572 \h </w:instrText>
      </w:r>
      <w:r>
        <w:fldChar w:fldCharType="separate"/>
      </w:r>
      <w:r>
        <w:t>17</w:t>
      </w:r>
      <w:r>
        <w:fldChar w:fldCharType="end"/>
      </w:r>
      <w:r>
        <w:fldChar w:fldCharType="end"/>
      </w:r>
    </w:p>
    <w:p>
      <w:pPr>
        <w:pStyle w:val="11"/>
        <w:tabs>
          <w:tab w:val="right" w:leader="dot" w:pos="8835"/>
        </w:tabs>
        <w:rPr>
          <w:rFonts w:asciiTheme="minorHAnsi" w:hAnsiTheme="minorHAnsi" w:eastAsiaTheme="minorEastAsia" w:cstheme="minorBidi"/>
        </w:rPr>
      </w:pPr>
      <w:r>
        <w:fldChar w:fldCharType="begin"/>
      </w:r>
      <w:r>
        <w:instrText xml:space="preserve"> HYPERLINK \l "_Toc102806573" </w:instrText>
      </w:r>
      <w:r>
        <w:fldChar w:fldCharType="separate"/>
      </w:r>
      <w:r>
        <w:rPr>
          <w:rStyle w:val="19"/>
          <w:rFonts w:hint="eastAsia" w:ascii="黑体" w:hAnsi="黑体" w:eastAsia="黑体" w:cs="黑体"/>
          <w:color w:val="auto"/>
        </w:rPr>
        <w:t>十六、网上报名操作须知</w:t>
      </w:r>
      <w:r>
        <w:tab/>
      </w:r>
      <w:r>
        <w:fldChar w:fldCharType="begin"/>
      </w:r>
      <w:r>
        <w:instrText xml:space="preserve"> PAGEREF _Toc102806573 \h </w:instrText>
      </w:r>
      <w:r>
        <w:fldChar w:fldCharType="separate"/>
      </w:r>
      <w:r>
        <w:t>17</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"_Toc102806574" </w:instrText>
      </w:r>
      <w:r>
        <w:fldChar w:fldCharType="separate"/>
      </w:r>
      <w:r>
        <w:rPr>
          <w:rStyle w:val="19"/>
          <w:rFonts w:hint="eastAsia" w:ascii="楷体_GB2312" w:hAnsi="楷体_GB2312" w:eastAsia="楷体_GB2312" w:cs="楷体_GB2312"/>
          <w:color w:val="auto"/>
        </w:rPr>
        <w:t>（一）个人密码重置</w:t>
      </w:r>
      <w:r>
        <w:tab/>
      </w:r>
      <w:r>
        <w:fldChar w:fldCharType="begin"/>
      </w:r>
      <w:r>
        <w:instrText xml:space="preserve"> PAGEREF _Toc102806574 \h </w:instrText>
      </w:r>
      <w:r>
        <w:fldChar w:fldCharType="separate"/>
      </w:r>
      <w:r>
        <w:t>17</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"_Toc102806575" </w:instrText>
      </w:r>
      <w:r>
        <w:fldChar w:fldCharType="separate"/>
      </w:r>
      <w:r>
        <w:rPr>
          <w:rStyle w:val="19"/>
          <w:rFonts w:hint="eastAsia" w:ascii="楷体_GB2312" w:hAnsi="楷体_GB2312" w:eastAsia="楷体_GB2312" w:cs="楷体_GB2312"/>
          <w:color w:val="auto"/>
        </w:rPr>
        <w:t>（二）报名信息填写</w:t>
      </w:r>
      <w:r>
        <w:tab/>
      </w:r>
      <w:r>
        <w:fldChar w:fldCharType="begin"/>
      </w:r>
      <w:r>
        <w:instrText xml:space="preserve"> PAGEREF _Toc102806575 \h </w:instrText>
      </w:r>
      <w:r>
        <w:fldChar w:fldCharType="separate"/>
      </w:r>
      <w:r>
        <w:t>18</w:t>
      </w:r>
      <w:r>
        <w:fldChar w:fldCharType="end"/>
      </w:r>
      <w:r>
        <w:fldChar w:fldCharType="end"/>
      </w:r>
    </w:p>
    <w:p>
      <w:pPr>
        <w:pStyle w:val="13"/>
        <w:tabs>
          <w:tab w:val="right" w:leader="dot" w:pos="8835"/>
        </w:tabs>
        <w:rPr>
          <w:rFonts w:asciiTheme="minorHAnsi" w:hAnsiTheme="minorHAnsi" w:eastAsiaTheme="minorEastAsia" w:cstheme="minorBidi"/>
        </w:rPr>
      </w:pPr>
      <w:r>
        <w:fldChar w:fldCharType="begin"/>
      </w:r>
      <w:r>
        <w:instrText xml:space="preserve"> HYPERLINK \l "_Toc102806576" </w:instrText>
      </w:r>
      <w:r>
        <w:fldChar w:fldCharType="separate"/>
      </w:r>
      <w:r>
        <w:rPr>
          <w:rStyle w:val="19"/>
          <w:rFonts w:hint="eastAsia" w:ascii="楷体_GB2312" w:hAnsi="楷体_GB2312" w:eastAsia="楷体_GB2312" w:cs="楷体_GB2312"/>
          <w:color w:val="auto"/>
        </w:rPr>
        <w:t>（三）报名次数限定</w:t>
      </w:r>
      <w:r>
        <w:tab/>
      </w:r>
      <w:r>
        <w:fldChar w:fldCharType="begin"/>
      </w:r>
      <w:r>
        <w:instrText xml:space="preserve"> PAGEREF _Toc102806576 \h </w:instrText>
      </w:r>
      <w:r>
        <w:fldChar w:fldCharType="separate"/>
      </w:r>
      <w:r>
        <w:t>18</w:t>
      </w:r>
      <w:r>
        <w:fldChar w:fldCharType="end"/>
      </w:r>
      <w:r>
        <w:fldChar w:fldCharType="end"/>
      </w:r>
    </w:p>
    <w:p>
      <w:pPr>
        <w:pStyle w:val="13"/>
        <w:tabs>
          <w:tab w:val="right" w:leader="dot" w:pos="8835"/>
        </w:tabs>
        <w:rPr>
          <w:rFonts w:hint="eastAsia" w:eastAsia="宋体" w:asciiTheme="minorHAnsi" w:hAnsiTheme="minorHAnsi" w:cstheme="minorBidi"/>
          <w:lang w:val="en-US" w:eastAsia="zh-CN"/>
        </w:rPr>
      </w:pPr>
      <w:r>
        <w:fldChar w:fldCharType="begin"/>
      </w:r>
      <w:r>
        <w:instrText xml:space="preserve"> HYPERLINK \l "_Toc102806577" </w:instrText>
      </w:r>
      <w:r>
        <w:fldChar w:fldCharType="separate"/>
      </w:r>
      <w:r>
        <w:rPr>
          <w:rStyle w:val="19"/>
          <w:rFonts w:hint="eastAsia" w:ascii="楷体_GB2312" w:hAnsi="楷体_GB2312" w:eastAsia="楷体_GB2312" w:cs="楷体_GB2312"/>
          <w:color w:val="auto"/>
        </w:rPr>
        <w:t>（四）申诉注意事项</w:t>
      </w:r>
      <w:r>
        <w:tab/>
      </w:r>
      <w:r>
        <w:rPr>
          <w:rFonts w:hint="eastAsia"/>
          <w:lang w:val="en-US" w:eastAsia="zh-CN"/>
        </w:rPr>
        <w:t>1</w:t>
      </w:r>
      <w:r>
        <w:fldChar w:fldCharType="end"/>
      </w:r>
      <w:r>
        <w:rPr>
          <w:rFonts w:hint="eastAsia"/>
          <w:lang w:val="en-US" w:eastAsia="zh-CN"/>
        </w:rPr>
        <w:t>9</w:t>
      </w:r>
    </w:p>
    <w:p>
      <w:pPr>
        <w:snapToGrid w:val="0"/>
        <w:spacing w:line="560" w:lineRule="exact"/>
        <w:rPr>
          <w:rFonts w:ascii="仿宋" w:hAnsi="仿宋" w:eastAsia="仿宋" w:cs="仿宋"/>
          <w:sz w:val="24"/>
          <w:szCs w:val="24"/>
        </w:rPr>
        <w:sectPr>
          <w:footerReference r:id="rId3" w:type="default"/>
          <w:pgSz w:w="11906" w:h="16838"/>
          <w:pgMar w:top="2098" w:right="1474" w:bottom="1984" w:left="1587" w:header="851" w:footer="992" w:gutter="0"/>
          <w:pgNumType w:start="1"/>
          <w:cols w:space="0" w:num="1"/>
          <w:docGrid w:type="lines" w:linePitch="312" w:charSpace="0"/>
        </w:sectPr>
      </w:pPr>
      <w:r>
        <w:rPr>
          <w:rFonts w:ascii="仿宋" w:hAnsi="仿宋" w:eastAsia="仿宋" w:cs="仿宋"/>
          <w:sz w:val="24"/>
          <w:szCs w:val="24"/>
        </w:rPr>
        <w:fldChar w:fldCharType="end"/>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本须知仅适用于厦门市同安区所属事业单位</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招聘工作人员考试（</w:t>
      </w:r>
      <w:r>
        <w:rPr>
          <w:rFonts w:hint="eastAsia" w:ascii="仿宋_GB2312" w:hAnsi="仿宋_GB2312" w:eastAsia="仿宋_GB2312" w:cs="仿宋_GB2312"/>
          <w:color w:val="0000FF"/>
          <w:sz w:val="32"/>
          <w:szCs w:val="32"/>
        </w:rPr>
        <w:t>202</w:t>
      </w:r>
      <w:r>
        <w:rPr>
          <w:rFonts w:hint="eastAsia" w:ascii="仿宋_GB2312" w:hAnsi="仿宋_GB2312" w:eastAsia="仿宋_GB2312" w:cs="仿宋_GB2312"/>
          <w:color w:val="0000FF"/>
          <w:sz w:val="32"/>
          <w:szCs w:val="32"/>
          <w:lang w:val="en-US" w:eastAsia="zh-CN"/>
        </w:rPr>
        <w:t>3</w:t>
      </w:r>
      <w:r>
        <w:rPr>
          <w:rFonts w:hint="eastAsia" w:ascii="仿宋_GB2312" w:hAnsi="仿宋_GB2312" w:eastAsia="仿宋_GB2312" w:cs="仿宋_GB2312"/>
          <w:color w:val="0000FF"/>
          <w:sz w:val="32"/>
          <w:szCs w:val="32"/>
        </w:rPr>
        <w:t>年</w:t>
      </w:r>
      <w:r>
        <w:rPr>
          <w:rFonts w:hint="eastAsia" w:ascii="仿宋_GB2312" w:hAnsi="仿宋_GB2312" w:eastAsia="仿宋_GB2312" w:cs="仿宋_GB2312"/>
          <w:color w:val="0000FF"/>
          <w:sz w:val="32"/>
          <w:szCs w:val="32"/>
          <w:lang w:val="en-US" w:eastAsia="zh-CN"/>
        </w:rPr>
        <w:t>9</w:t>
      </w:r>
      <w:r>
        <w:rPr>
          <w:rFonts w:hint="eastAsia" w:ascii="仿宋_GB2312" w:hAnsi="仿宋_GB2312" w:eastAsia="仿宋_GB2312" w:cs="仿宋_GB2312"/>
          <w:color w:val="0000FF"/>
          <w:sz w:val="32"/>
          <w:szCs w:val="32"/>
        </w:rPr>
        <w:t>月</w:t>
      </w:r>
      <w:r>
        <w:rPr>
          <w:rFonts w:hint="eastAsia" w:ascii="仿宋_GB2312" w:hAnsi="仿宋_GB2312" w:eastAsia="仿宋_GB2312" w:cs="仿宋_GB2312"/>
          <w:sz w:val="32"/>
          <w:szCs w:val="32"/>
        </w:rPr>
        <w:t>），由厦门市同安区人力资源和社会保障局（以下简称“区人社局”）负责解释。</w:t>
      </w:r>
    </w:p>
    <w:p>
      <w:pPr>
        <w:tabs>
          <w:tab w:val="left" w:pos="0"/>
        </w:tabs>
        <w:snapToGrid w:val="0"/>
        <w:spacing w:line="560" w:lineRule="exact"/>
        <w:ind w:firstLine="640" w:firstLineChars="200"/>
        <w:outlineLvl w:val="0"/>
        <w:rPr>
          <w:rFonts w:ascii="黑体" w:hAnsi="黑体" w:eastAsia="黑体" w:cs="黑体"/>
          <w:sz w:val="32"/>
          <w:szCs w:val="32"/>
        </w:rPr>
      </w:pPr>
      <w:bookmarkStart w:id="1" w:name="_Toc102806530"/>
      <w:r>
        <w:rPr>
          <w:rFonts w:hint="eastAsia" w:ascii="黑体" w:hAnsi="黑体" w:eastAsia="黑体" w:cs="黑体"/>
          <w:sz w:val="32"/>
          <w:szCs w:val="32"/>
        </w:rPr>
        <w:t>一、基本条件</w:t>
      </w:r>
      <w:bookmarkEnd w:id="1"/>
    </w:p>
    <w:p>
      <w:pPr>
        <w:snapToGrid w:val="0"/>
        <w:spacing w:line="560" w:lineRule="exact"/>
        <w:ind w:firstLine="640" w:firstLineChars="200"/>
        <w:rPr>
          <w:rFonts w:ascii="仿宋_GB2312" w:hAnsi="仿宋_GB2312" w:eastAsia="仿宋_GB2312" w:cs="仿宋_GB2312"/>
          <w:sz w:val="32"/>
          <w:szCs w:val="32"/>
        </w:rPr>
      </w:pPr>
      <w:bookmarkStart w:id="2" w:name="_Toc29243_WPSOffice_Level2"/>
      <w:bookmarkStart w:id="3" w:name="_Toc9119_WPSOffice_Level2"/>
      <w:bookmarkStart w:id="4" w:name="_Toc19262_WPSOffice_Level2"/>
      <w:bookmarkStart w:id="5" w:name="_Toc17638_WPSOffice_Level2"/>
      <w:r>
        <w:rPr>
          <w:rFonts w:hint="eastAsia" w:ascii="仿宋_GB2312" w:hAnsi="仿宋_GB2312" w:eastAsia="仿宋_GB2312" w:cs="仿宋_GB2312"/>
          <w:sz w:val="32"/>
          <w:szCs w:val="32"/>
        </w:rPr>
        <w:t>（一）具有中华人民共和国国籍；</w:t>
      </w:r>
      <w:bookmarkEnd w:id="2"/>
      <w:bookmarkEnd w:id="3"/>
      <w:bookmarkEnd w:id="4"/>
      <w:bookmarkEnd w:id="5"/>
      <w:bookmarkStart w:id="6" w:name="_Toc17350_WPSOffice_Level2"/>
      <w:bookmarkStart w:id="7" w:name="_Toc11941_WPSOffice_Level2"/>
      <w:bookmarkStart w:id="8" w:name="_Toc12392_WPSOffice_Level2"/>
      <w:bookmarkStart w:id="9" w:name="_Toc4207_WPSOffice_Level2"/>
    </w:p>
    <w:bookmarkEnd w:id="6"/>
    <w:bookmarkEnd w:id="7"/>
    <w:bookmarkEnd w:id="8"/>
    <w:bookmarkEnd w:id="9"/>
    <w:p>
      <w:pPr>
        <w:snapToGrid w:val="0"/>
        <w:spacing w:line="560" w:lineRule="exact"/>
        <w:ind w:firstLine="640" w:firstLineChars="200"/>
        <w:rPr>
          <w:rFonts w:ascii="仿宋_GB2312" w:hAnsi="仿宋_GB2312" w:eastAsia="仿宋_GB2312" w:cs="仿宋_GB2312"/>
          <w:sz w:val="32"/>
          <w:szCs w:val="32"/>
        </w:rPr>
      </w:pPr>
      <w:bookmarkStart w:id="10" w:name="_Toc7847_WPSOffice_Level2"/>
      <w:bookmarkStart w:id="11" w:name="_Toc20094_WPSOffice_Level2"/>
      <w:bookmarkStart w:id="12" w:name="_Toc9634_WPSOffice_Level2"/>
      <w:bookmarkStart w:id="13" w:name="_Toc6014_WPSOffice_Level2"/>
      <w:r>
        <w:rPr>
          <w:rFonts w:hint="eastAsia" w:ascii="仿宋_GB2312" w:hAnsi="仿宋_GB2312" w:eastAsia="仿宋_GB2312" w:cs="仿宋_GB2312"/>
          <w:kern w:val="0"/>
          <w:sz w:val="32"/>
          <w:szCs w:val="32"/>
        </w:rPr>
        <w:t>（二）拥护中华人民共和国宪法,拥护中国共产党领导和社会主义制度；</w:t>
      </w:r>
      <w:bookmarkEnd w:id="10"/>
      <w:bookmarkEnd w:id="11"/>
      <w:bookmarkEnd w:id="12"/>
      <w:bookmarkEnd w:id="13"/>
      <w:bookmarkStart w:id="14" w:name="_Toc30877_WPSOffice_Level2"/>
      <w:bookmarkStart w:id="15" w:name="_Toc13849_WPSOffice_Level2"/>
      <w:bookmarkStart w:id="16" w:name="_Toc6870_WPSOffice_Level2"/>
      <w:bookmarkStart w:id="17" w:name="_Toc27016_WPSOffice_Level2"/>
    </w:p>
    <w:bookmarkEnd w:id="14"/>
    <w:bookmarkEnd w:id="15"/>
    <w:bookmarkEnd w:id="16"/>
    <w:bookmarkEnd w:id="17"/>
    <w:p>
      <w:pPr>
        <w:snapToGrid w:val="0"/>
        <w:spacing w:line="560" w:lineRule="exact"/>
        <w:ind w:firstLine="640" w:firstLineChars="200"/>
        <w:rPr>
          <w:rFonts w:ascii="仿宋_GB2312" w:hAnsi="仿宋_GB2312" w:eastAsia="仿宋_GB2312" w:cs="仿宋_GB2312"/>
          <w:sz w:val="32"/>
          <w:szCs w:val="32"/>
        </w:rPr>
      </w:pPr>
      <w:bookmarkStart w:id="18" w:name="_Toc4758_WPSOffice_Level2"/>
      <w:bookmarkStart w:id="19" w:name="_Toc10788_WPSOffice_Level2"/>
      <w:bookmarkStart w:id="20" w:name="_Toc26060_WPSOffice_Level2"/>
      <w:bookmarkStart w:id="21" w:name="_Toc19929_WPSOffice_Level2"/>
      <w:r>
        <w:rPr>
          <w:rFonts w:hint="eastAsia" w:ascii="仿宋_GB2312" w:hAnsi="仿宋_GB2312" w:eastAsia="仿宋_GB2312" w:cs="仿宋_GB2312"/>
          <w:kern w:val="0"/>
          <w:sz w:val="32"/>
          <w:szCs w:val="32"/>
        </w:rPr>
        <w:t>（三）具有良好的政治素质和道德品行，具有正常履行职责的身心条件；</w:t>
      </w:r>
    </w:p>
    <w:bookmarkEnd w:id="18"/>
    <w:bookmarkEnd w:id="19"/>
    <w:bookmarkEnd w:id="20"/>
    <w:bookmarkEnd w:id="21"/>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（四）18周岁以上、35周岁以下</w:t>
      </w:r>
      <w:r>
        <w:rPr>
          <w:rFonts w:hint="eastAsia" w:ascii="仿宋_GB2312" w:eastAsia="仿宋_GB2312"/>
          <w:color w:val="auto"/>
          <w:sz w:val="32"/>
          <w:szCs w:val="32"/>
        </w:rPr>
        <w:t>（</w:t>
      </w:r>
      <w:r>
        <w:rPr>
          <w:rFonts w:hint="eastAsia" w:ascii="仿宋_GB2312" w:eastAsia="仿宋_GB2312"/>
          <w:color w:val="0000FF"/>
          <w:sz w:val="32"/>
          <w:szCs w:val="32"/>
        </w:rPr>
        <w:t>在198</w:t>
      </w:r>
      <w:r>
        <w:rPr>
          <w:rFonts w:hint="eastAsia" w:ascii="仿宋_GB2312" w:eastAsia="仿宋_GB2312"/>
          <w:color w:val="0000FF"/>
          <w:sz w:val="32"/>
          <w:szCs w:val="32"/>
          <w:lang w:val="en-US" w:eastAsia="zh-CN"/>
        </w:rPr>
        <w:t>7</w:t>
      </w:r>
      <w:r>
        <w:rPr>
          <w:rFonts w:hint="eastAsia" w:ascii="仿宋_GB2312" w:eastAsia="仿宋_GB2312"/>
          <w:color w:val="0000FF"/>
          <w:sz w:val="32"/>
          <w:szCs w:val="32"/>
        </w:rPr>
        <w:t>年</w:t>
      </w:r>
      <w:r>
        <w:rPr>
          <w:rFonts w:hint="eastAsia" w:ascii="仿宋_GB2312" w:eastAsia="仿宋_GB2312"/>
          <w:color w:val="0000FF"/>
          <w:sz w:val="32"/>
          <w:szCs w:val="32"/>
          <w:lang w:val="en-US" w:eastAsia="zh-CN"/>
        </w:rPr>
        <w:t>9</w:t>
      </w:r>
      <w:r>
        <w:rPr>
          <w:rFonts w:hint="eastAsia" w:ascii="仿宋_GB2312" w:eastAsia="仿宋_GB2312"/>
          <w:color w:val="0000FF"/>
          <w:sz w:val="32"/>
          <w:szCs w:val="32"/>
        </w:rPr>
        <w:t>月至200</w:t>
      </w:r>
      <w:r>
        <w:rPr>
          <w:rFonts w:hint="eastAsia" w:ascii="仿宋_GB2312" w:eastAsia="仿宋_GB2312"/>
          <w:color w:val="0000FF"/>
          <w:sz w:val="32"/>
          <w:szCs w:val="32"/>
          <w:lang w:val="en-US" w:eastAsia="zh-CN"/>
        </w:rPr>
        <w:t>5</w:t>
      </w:r>
      <w:r>
        <w:rPr>
          <w:rFonts w:hint="eastAsia" w:ascii="仿宋_GB2312" w:eastAsia="仿宋_GB2312"/>
          <w:color w:val="0000FF"/>
          <w:sz w:val="32"/>
          <w:szCs w:val="32"/>
        </w:rPr>
        <w:t>年</w:t>
      </w:r>
      <w:r>
        <w:rPr>
          <w:rFonts w:hint="eastAsia" w:ascii="仿宋_GB2312" w:eastAsia="仿宋_GB2312"/>
          <w:color w:val="0000FF"/>
          <w:sz w:val="32"/>
          <w:szCs w:val="32"/>
          <w:lang w:val="en-US" w:eastAsia="zh-CN"/>
        </w:rPr>
        <w:t>9</w:t>
      </w:r>
      <w:r>
        <w:rPr>
          <w:rFonts w:hint="eastAsia" w:ascii="仿宋_GB2312" w:eastAsia="仿宋_GB2312"/>
          <w:color w:val="0000FF"/>
          <w:sz w:val="32"/>
          <w:szCs w:val="32"/>
        </w:rPr>
        <w:t>月期间出生</w:t>
      </w:r>
      <w:r>
        <w:rPr>
          <w:rFonts w:hint="eastAsia" w:ascii="仿宋_GB2312" w:eastAsia="仿宋_GB2312"/>
          <w:color w:val="auto"/>
          <w:sz w:val="32"/>
          <w:szCs w:val="32"/>
        </w:rPr>
        <w:t>），对年龄条件另有要求</w:t>
      </w:r>
      <w:r>
        <w:rPr>
          <w:rFonts w:hint="eastAsia" w:ascii="仿宋_GB2312" w:eastAsia="仿宋_GB2312"/>
          <w:sz w:val="32"/>
          <w:szCs w:val="32"/>
        </w:rPr>
        <w:t>的，以岗位要求为准；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（五）具备招聘岗位设置的资格条件。</w:t>
      </w:r>
    </w:p>
    <w:p>
      <w:pPr>
        <w:tabs>
          <w:tab w:val="left" w:pos="0"/>
        </w:tabs>
        <w:snapToGrid w:val="0"/>
        <w:spacing w:line="560" w:lineRule="exact"/>
        <w:ind w:firstLine="640" w:firstLineChars="200"/>
        <w:outlineLvl w:val="0"/>
        <w:rPr>
          <w:rFonts w:ascii="黑体" w:hAnsi="黑体" w:eastAsia="黑体" w:cs="黑体"/>
          <w:sz w:val="32"/>
          <w:szCs w:val="32"/>
        </w:rPr>
      </w:pPr>
      <w:bookmarkStart w:id="22" w:name="_Toc102806531"/>
      <w:r>
        <w:rPr>
          <w:rFonts w:hint="eastAsia" w:ascii="黑体" w:hAnsi="黑体" w:eastAsia="黑体" w:cs="黑体"/>
          <w:sz w:val="32"/>
          <w:szCs w:val="32"/>
        </w:rPr>
        <w:t>二、不得报考或取消报考（聘用）资格的情形</w:t>
      </w:r>
      <w:bookmarkEnd w:id="22"/>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（一）因犯罪受过刑事处罚的；</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被开除公职或开除中国共产党党籍的</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（三）</w:t>
      </w:r>
      <w:r>
        <w:rPr>
          <w:rFonts w:hint="eastAsia" w:ascii="仿宋_GB2312" w:eastAsia="仿宋_GB2312"/>
          <w:sz w:val="32"/>
          <w:szCs w:val="32"/>
        </w:rPr>
        <w:t>被依法列为失信联合惩戒对象的；</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（四）在各级公务员或事业单位招考中被认定有舞弊等严重违反录(聘)用纪律行为的；</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eastAsia="仿宋_GB2312"/>
          <w:sz w:val="32"/>
          <w:szCs w:val="32"/>
        </w:rPr>
        <w:t>公务员或参照公务员法管理机关（单位）工作人员（以下简称“参公人员”）被辞退未满5年的</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（六）试用期内的公务员或参公人员；未达到与当地公务员主管部门或单位组织人事部门约定服务年限的公务员和参公人员</w:t>
      </w:r>
      <w:r>
        <w:rPr>
          <w:rFonts w:hint="eastAsia" w:ascii="仿宋_GB2312" w:eastAsia="仿宋_GB2312"/>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eastAsia="仿宋_GB2312"/>
          <w:sz w:val="32"/>
          <w:szCs w:val="32"/>
        </w:rPr>
        <w:t>现役军人及普通高等院校全日制在读的非</w:t>
      </w:r>
      <w:r>
        <w:rPr>
          <w:rFonts w:hint="eastAsia" w:ascii="仿宋_GB2312" w:eastAsia="仿宋_GB2312"/>
          <w:color w:val="FF0000"/>
          <w:sz w:val="32"/>
          <w:szCs w:val="32"/>
          <w:lang w:val="en-US" w:eastAsia="zh-CN"/>
        </w:rPr>
        <w:t>2023</w:t>
      </w:r>
      <w:r>
        <w:rPr>
          <w:rFonts w:hint="eastAsia" w:ascii="仿宋_GB2312" w:eastAsia="仿宋_GB2312"/>
          <w:color w:val="FF0000"/>
          <w:sz w:val="32"/>
          <w:szCs w:val="32"/>
        </w:rPr>
        <w:t>届</w:t>
      </w:r>
      <w:r>
        <w:rPr>
          <w:rFonts w:hint="eastAsia" w:ascii="仿宋_GB2312" w:eastAsia="仿宋_GB2312"/>
          <w:sz w:val="32"/>
          <w:szCs w:val="32"/>
        </w:rPr>
        <w:t>毕业生（即</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sz w:val="32"/>
          <w:szCs w:val="32"/>
        </w:rPr>
        <w:t>年及以后才学业期满的全日制普通教育学生）</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eastAsia="仿宋_GB2312"/>
          <w:sz w:val="32"/>
          <w:szCs w:val="32"/>
        </w:rPr>
        <w:t>涉嫌违法犯罪正在接受司法调查尚未做出结论的，或尚未解除党（政）纪处分的，或正在接受纪律审查的</w:t>
      </w:r>
      <w:r>
        <w:rPr>
          <w:rFonts w:hint="eastAsia" w:ascii="仿宋_GB2312" w:hAnsi="仿宋_GB2312" w:eastAsia="仿宋_GB2312" w:cs="仿宋_GB2312"/>
          <w:sz w:val="32"/>
          <w:szCs w:val="32"/>
        </w:rPr>
        <w:t xml:space="preserve">; </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（九）聘用后即构成应回避关系的；</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根据原福建省卫生计生委等六部门《关于印发&lt;完善福建省住院医师规范化培训制度的实施意见&gt;的通知》（闽卫科教〔2015〕107号）和《福建省卫生计生委关于印发福建省住院医师规范化培训实施方案的通知》（闽卫科教〔2016〕83号）精神：凡是以单位人身份进入住院医师规范化培训的人员或以单位人身份正在接受住院医师规范化培训的人员，在培训期间及培训结束（含终止培训或退出培训）后3年内不得报考培训基地所在单位的任何招聘岗位;</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（十一）工作期间曾发生医疗事故负有主要责任的；</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（十二）法律法规规章规定不得聘为事业单位人员的。 </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福建省内机关、事业单位、公立医疗卫生机构工作人员须征得所在单位同意方可报名，并须在面试资格复核时提供所在单位同意报考书面证明；确有实际困难的，经招聘单位及其主管部门同意，可在体检或考察时提供同意报考证明。 </w:t>
      </w:r>
    </w:p>
    <w:p>
      <w:pPr>
        <w:tabs>
          <w:tab w:val="left" w:pos="0"/>
        </w:tabs>
        <w:snapToGrid w:val="0"/>
        <w:spacing w:line="560" w:lineRule="exact"/>
        <w:ind w:firstLine="640" w:firstLineChars="200"/>
        <w:outlineLvl w:val="0"/>
        <w:rPr>
          <w:rFonts w:ascii="黑体" w:hAnsi="黑体" w:eastAsia="黑体" w:cs="黑体"/>
          <w:sz w:val="32"/>
          <w:szCs w:val="32"/>
        </w:rPr>
      </w:pPr>
      <w:bookmarkStart w:id="23" w:name="_Toc102806532"/>
      <w:r>
        <w:rPr>
          <w:rFonts w:hint="eastAsia" w:ascii="黑体" w:hAnsi="黑体" w:eastAsia="黑体" w:cs="黑体"/>
          <w:sz w:val="32"/>
          <w:szCs w:val="32"/>
        </w:rPr>
        <w:t>三、选报岗位</w:t>
      </w:r>
      <w:bookmarkEnd w:id="23"/>
    </w:p>
    <w:p>
      <w:pPr>
        <w:snapToGrid w:val="0"/>
        <w:spacing w:line="560" w:lineRule="exact"/>
        <w:ind w:firstLine="643" w:firstLineChars="200"/>
        <w:outlineLvl w:val="1"/>
        <w:rPr>
          <w:rFonts w:ascii="楷体_GB2312" w:hAnsi="楷体_GB2312" w:eastAsia="楷体_GB2312" w:cs="楷体_GB2312"/>
          <w:b/>
          <w:bCs w:val="0"/>
          <w:sz w:val="32"/>
          <w:szCs w:val="32"/>
        </w:rPr>
      </w:pPr>
      <w:bookmarkStart w:id="24" w:name="_Toc102806533"/>
      <w:r>
        <w:rPr>
          <w:rFonts w:hint="eastAsia" w:ascii="楷体_GB2312" w:hAnsi="楷体_GB2312" w:eastAsia="楷体_GB2312" w:cs="楷体_GB2312"/>
          <w:b/>
          <w:bCs w:val="0"/>
          <w:sz w:val="32"/>
          <w:szCs w:val="32"/>
        </w:rPr>
        <w:t>（一）报考资格条件确认</w:t>
      </w:r>
      <w:bookmarkEnd w:id="24"/>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报考者须在报名时，全面、逐项对照招聘岗位和招聘简章等要求，确认符合报考资格条件</w:t>
      </w:r>
      <w:r>
        <w:rPr>
          <w:rFonts w:hint="eastAsia" w:ascii="仿宋_GB2312" w:hAnsi="仿宋_GB2312" w:eastAsia="仿宋_GB2312" w:cs="仿宋_GB2312"/>
          <w:sz w:val="32"/>
          <w:szCs w:val="32"/>
        </w:rPr>
        <w:t xml:space="preserve">。 </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2.每名报考者只能报考1个岗位，通过资格初审后不得更改，并以通过资格初审的岗位参加考试。</w:t>
      </w:r>
    </w:p>
    <w:p>
      <w:pPr>
        <w:adjustRightInd w:val="0"/>
        <w:snapToGrid w:val="0"/>
        <w:spacing w:line="560" w:lineRule="exact"/>
        <w:ind w:firstLine="640" w:firstLineChars="200"/>
        <w:jc w:val="left"/>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color w:val="auto"/>
          <w:sz w:val="32"/>
          <w:szCs w:val="32"/>
        </w:rPr>
        <w:t>3.各岗位报名人数统计每天24:00更新一次，</w:t>
      </w:r>
      <w:r>
        <w:rPr>
          <w:rFonts w:hint="eastAsia" w:ascii="仿宋_GB2312" w:hAnsi="仿宋_GB2312" w:eastAsia="仿宋_GB2312" w:cs="仿宋_GB2312"/>
          <w:b/>
          <w:color w:val="0000FF"/>
          <w:sz w:val="32"/>
          <w:szCs w:val="32"/>
          <w:lang w:val="en-US" w:eastAsia="zh-CN"/>
        </w:rPr>
        <w:t>9</w:t>
      </w:r>
      <w:r>
        <w:rPr>
          <w:rFonts w:hint="eastAsia" w:ascii="仿宋_GB2312" w:hAnsi="仿宋_GB2312" w:eastAsia="仿宋_GB2312" w:cs="仿宋_GB2312"/>
          <w:b/>
          <w:color w:val="0000FF"/>
          <w:sz w:val="32"/>
          <w:szCs w:val="32"/>
        </w:rPr>
        <w:t>月</w:t>
      </w:r>
      <w:r>
        <w:rPr>
          <w:rFonts w:hint="eastAsia" w:ascii="仿宋_GB2312" w:hAnsi="仿宋_GB2312" w:eastAsia="仿宋_GB2312" w:cs="仿宋_GB2312"/>
          <w:b/>
          <w:color w:val="0000FF"/>
          <w:sz w:val="32"/>
          <w:szCs w:val="32"/>
          <w:lang w:val="en-US" w:eastAsia="zh-CN"/>
        </w:rPr>
        <w:t>11</w:t>
      </w:r>
      <w:r>
        <w:rPr>
          <w:rFonts w:hint="eastAsia" w:ascii="仿宋_GB2312" w:hAnsi="仿宋_GB2312" w:eastAsia="仿宋_GB2312" w:cs="仿宋_GB2312"/>
          <w:b/>
          <w:color w:val="0000FF"/>
          <w:sz w:val="32"/>
          <w:szCs w:val="32"/>
        </w:rPr>
        <w:t>日24:00起不再更新</w:t>
      </w:r>
      <w:r>
        <w:rPr>
          <w:rFonts w:hint="eastAsia" w:ascii="仿宋_GB2312" w:hAnsi="仿宋_GB2312" w:eastAsia="仿宋_GB2312" w:cs="仿宋_GB2312"/>
          <w:b/>
          <w:color w:val="0000FF"/>
          <w:sz w:val="32"/>
          <w:szCs w:val="32"/>
          <w:lang w:eastAsia="zh-CN"/>
        </w:rPr>
        <w:t>。</w:t>
      </w:r>
      <w:bookmarkStart w:id="103" w:name="_GoBack"/>
      <w:bookmarkEnd w:id="103"/>
    </w:p>
    <w:p>
      <w:pPr>
        <w:snapToGrid w:val="0"/>
        <w:spacing w:line="560" w:lineRule="exact"/>
        <w:ind w:firstLine="643" w:firstLineChars="200"/>
        <w:outlineLvl w:val="1"/>
        <w:rPr>
          <w:rFonts w:hint="eastAsia" w:ascii="楷体_GB2312" w:hAnsi="楷体_GB2312" w:eastAsia="楷体_GB2312" w:cs="楷体_GB2312"/>
          <w:b/>
          <w:bCs w:val="0"/>
          <w:sz w:val="32"/>
          <w:szCs w:val="32"/>
        </w:rPr>
      </w:pPr>
      <w:bookmarkStart w:id="25" w:name="_Toc102806534"/>
      <w:r>
        <w:rPr>
          <w:rFonts w:hint="eastAsia" w:ascii="楷体_GB2312" w:hAnsi="楷体_GB2312" w:eastAsia="楷体_GB2312" w:cs="楷体_GB2312"/>
          <w:b/>
          <w:bCs w:val="0"/>
          <w:sz w:val="32"/>
          <w:szCs w:val="32"/>
        </w:rPr>
        <w:t>（二）照片要求</w:t>
      </w:r>
      <w:bookmarkEnd w:id="25"/>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请提交近期正面免冠二寸彩色数码证件照（jpg格式，规格200K以下）。</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下为常见不合格照片：①着制式服装照（公安、工商、武警等）；②着帽子或太醒目、夸张首饰等；③模糊不清晰的；④眼镜反光的；⑤明显不是个人照片的（如风景照、名人照等）；⑥随意自拍的半身照，全身照等无法看清楚脸的； ⑦头发刘海遮挡面大的；⑧照片比例变形的；⑨手持证件的照片；⑩其他难以清晰辨认的。</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bookmarkStart w:id="26" w:name="_Toc102806535"/>
      <w:r>
        <w:rPr>
          <w:rFonts w:hint="eastAsia" w:ascii="楷体_GB2312" w:hAnsi="楷体_GB2312" w:eastAsia="楷体_GB2312" w:cs="楷体_GB2312"/>
          <w:b/>
          <w:bCs w:val="0"/>
          <w:sz w:val="32"/>
          <w:szCs w:val="32"/>
        </w:rPr>
        <w:t>（三）个人简历</w:t>
      </w:r>
      <w:bookmarkEnd w:id="26"/>
    </w:p>
    <w:p>
      <w:pPr>
        <w:ind w:firstLine="643" w:firstLineChars="200"/>
        <w:rPr>
          <w:rFonts w:ascii="仿宋_GB2312" w:hAnsi="仿宋_GB2312" w:eastAsia="仿宋_GB2312" w:cs="仿宋_GB2312"/>
          <w:b/>
          <w:bCs/>
          <w:sz w:val="32"/>
          <w:szCs w:val="32"/>
        </w:rPr>
      </w:pPr>
      <w:bookmarkStart w:id="27" w:name="_Toc28349"/>
      <w:bookmarkStart w:id="28" w:name="_Toc11175"/>
      <w:bookmarkStart w:id="29" w:name="_Toc29293"/>
      <w:bookmarkStart w:id="30" w:name="_Toc4830"/>
      <w:bookmarkStart w:id="31" w:name="_Toc5535"/>
      <w:r>
        <w:rPr>
          <w:rFonts w:hint="eastAsia" w:ascii="仿宋_GB2312" w:hAnsi="仿宋_GB2312" w:eastAsia="仿宋_GB2312" w:cs="仿宋_GB2312"/>
          <w:b/>
          <w:sz w:val="32"/>
          <w:szCs w:val="32"/>
        </w:rPr>
        <w:t>曾在报名系统中注册登记的考生，本次报考前务必首先根据实际情况重新修改完善个人相关信息（截至报名截止月或报名截止日）</w:t>
      </w:r>
      <w:r>
        <w:rPr>
          <w:rFonts w:hint="eastAsia" w:ascii="仿宋_GB2312" w:hAnsi="仿宋_GB2312" w:eastAsia="仿宋_GB2312" w:cs="仿宋_GB2312"/>
          <w:sz w:val="32"/>
          <w:szCs w:val="32"/>
        </w:rPr>
        <w:t>，如实反映各阶段的就学、就业、待业等状态，期间不能中断，原则上应从高中起填写。</w:t>
      </w:r>
      <w:bookmarkEnd w:id="27"/>
      <w:bookmarkEnd w:id="28"/>
      <w:r>
        <w:rPr>
          <w:rFonts w:hint="eastAsia" w:ascii="仿宋_GB2312" w:hAnsi="仿宋_GB2312" w:eastAsia="仿宋_GB2312" w:cs="仿宋_GB2312"/>
          <w:sz w:val="32"/>
          <w:szCs w:val="32"/>
        </w:rPr>
        <w:t>报名提交审核后修改填写的个人信息，系统无法自动更新呈现。</w:t>
      </w:r>
      <w:r>
        <w:rPr>
          <w:rFonts w:hint="eastAsia" w:ascii="仿宋_GB2312" w:hAnsi="仿宋_GB2312" w:eastAsia="仿宋_GB2312" w:cs="仿宋_GB2312"/>
          <w:b/>
          <w:sz w:val="32"/>
          <w:szCs w:val="32"/>
        </w:rPr>
        <w:t>为避免所报考岗位审核人员按原信息审核判定不符合，</w:t>
      </w:r>
      <w:r>
        <w:rPr>
          <w:rFonts w:hint="eastAsia" w:ascii="仿宋_GB2312" w:hAnsi="仿宋_GB2312" w:eastAsia="仿宋_GB2312" w:cs="仿宋_GB2312"/>
          <w:b/>
          <w:bCs/>
          <w:sz w:val="32"/>
          <w:szCs w:val="32"/>
        </w:rPr>
        <w:t>请务必在报名信息提交前完善并确认个人信息无误。</w:t>
      </w:r>
      <w:bookmarkEnd w:id="29"/>
      <w:bookmarkEnd w:id="30"/>
      <w:bookmarkEnd w:id="31"/>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在机关事业单位工作的，须注明单位性质（机关、参公单位、非参公事业单位）和本人身份（公务员、参公事业编制人员、非参公事业编制人员、编外人员）。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部队、武警相关单位工作人员须注明“现役人员”还是“非现役文职人员”，或者“合同制职员”等。</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在读人员须注明教育类别是“全日制普教”还是“非全日制普教”。</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bookmarkStart w:id="32" w:name="_Toc102806536"/>
      <w:r>
        <w:rPr>
          <w:rFonts w:hint="eastAsia" w:ascii="楷体_GB2312" w:hAnsi="楷体_GB2312" w:eastAsia="楷体_GB2312" w:cs="楷体_GB2312"/>
          <w:b/>
          <w:bCs w:val="0"/>
          <w:sz w:val="32"/>
          <w:szCs w:val="32"/>
        </w:rPr>
        <w:t>（四）回避情形</w:t>
      </w:r>
      <w:bookmarkEnd w:id="32"/>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、纪检监察、审计、财务工作的岗位，也不得聘用至双方直接隶属于同一领导人员的从事组织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、纪检监察、审计、财务工作的内设机构正职岗位</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1.夫妻关系;</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2.直系血亲关系，包括祖父母、外祖父母、父母、子女、孙子女、外孙子女;</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3.三代以内旁系血亲关系，包括叔伯姑舅姨、兄弟姐妹、堂兄弟姐妹、表兄弟姐妹、侄子女、甥子女;</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4.近姻亲关系，包括配偶的父母、配偶的兄弟姐妹及其配偶、子女的配偶及子女配偶的父母、三代以内旁系血亲的配偶;</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5.其他亲属关系，包括养父母子女、形成抚养关系的继父母子女及由此形成的直系血亲、三代以内旁系血亲和近姻亲关系。</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所称直接上下级领导关系包括：</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1.领导班子正职与副职;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2.同一内设机构正职与副职;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3.上级正职、副职与下级正职;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4.单位无内设机构的，其正职、副职与其他管理人员以及从事审计、财务工作的专业技术人员;</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5.内设机构无下一级单位的，其正职、副职与其他管理人员以及从事审计、财务工作的专业技术人员。</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从事招聘工作的人员存在应当回避情形的，须实行履职回避。</w:t>
      </w:r>
    </w:p>
    <w:p>
      <w:pPr>
        <w:snapToGrid w:val="0"/>
        <w:spacing w:line="560" w:lineRule="exact"/>
        <w:ind w:firstLine="640" w:firstLineChars="200"/>
        <w:outlineLvl w:val="0"/>
        <w:rPr>
          <w:rFonts w:ascii="黑体" w:hAnsi="黑体" w:eastAsia="黑体" w:cs="黑体"/>
          <w:sz w:val="32"/>
          <w:szCs w:val="32"/>
        </w:rPr>
      </w:pPr>
      <w:bookmarkStart w:id="33" w:name="_Toc102806537"/>
      <w:r>
        <w:rPr>
          <w:rFonts w:hint="eastAsia" w:ascii="黑体" w:hAnsi="黑体" w:eastAsia="黑体" w:cs="黑体"/>
          <w:sz w:val="32"/>
          <w:szCs w:val="32"/>
        </w:rPr>
        <w:t>四、年龄、资格（历）等的计算办法</w:t>
      </w:r>
      <w:bookmarkEnd w:id="33"/>
    </w:p>
    <w:p>
      <w:pPr>
        <w:snapToGrid w:val="0"/>
        <w:spacing w:line="560" w:lineRule="exact"/>
        <w:ind w:firstLine="640" w:firstLineChars="200"/>
        <w:rPr>
          <w:rFonts w:ascii="仿宋_GB2312" w:hAnsi="仿宋_GB2312" w:eastAsia="仿宋_GB2312" w:cs="仿宋_GB2312"/>
          <w:bCs/>
          <w:color w:val="auto"/>
          <w:sz w:val="32"/>
          <w:szCs w:val="32"/>
        </w:rPr>
      </w:pPr>
      <w:r>
        <w:rPr>
          <w:rFonts w:hint="eastAsia" w:ascii="仿宋_GB2312" w:eastAsia="仿宋_GB2312"/>
          <w:sz w:val="32"/>
          <w:szCs w:val="32"/>
        </w:rPr>
        <w:t>如无特别说明，相关年限的计算、证书取得时间等，均指计算截至报名截止当月，即</w:t>
      </w:r>
      <w:r>
        <w:rPr>
          <w:rFonts w:hint="eastAsia" w:ascii="仿宋_GB2312" w:eastAsia="仿宋_GB2312"/>
          <w:color w:val="0000FF"/>
          <w:sz w:val="32"/>
          <w:szCs w:val="32"/>
        </w:rPr>
        <w:t>202</w:t>
      </w:r>
      <w:r>
        <w:rPr>
          <w:rFonts w:hint="eastAsia" w:ascii="仿宋_GB2312" w:eastAsia="仿宋_GB2312"/>
          <w:color w:val="0000FF"/>
          <w:sz w:val="32"/>
          <w:szCs w:val="32"/>
          <w:lang w:val="en-US" w:eastAsia="zh-CN"/>
        </w:rPr>
        <w:t>3</w:t>
      </w:r>
      <w:r>
        <w:rPr>
          <w:rFonts w:hint="eastAsia" w:ascii="仿宋_GB2312" w:eastAsia="仿宋_GB2312"/>
          <w:color w:val="0000FF"/>
          <w:sz w:val="32"/>
          <w:szCs w:val="32"/>
        </w:rPr>
        <w:t>年</w:t>
      </w:r>
      <w:r>
        <w:rPr>
          <w:rFonts w:hint="eastAsia" w:ascii="仿宋_GB2312" w:eastAsia="仿宋_GB2312"/>
          <w:color w:val="0000FF"/>
          <w:sz w:val="32"/>
          <w:szCs w:val="32"/>
          <w:lang w:val="en-US" w:eastAsia="zh-CN"/>
        </w:rPr>
        <w:t>9</w:t>
      </w:r>
      <w:r>
        <w:rPr>
          <w:rFonts w:hint="eastAsia" w:ascii="仿宋_GB2312" w:eastAsia="仿宋_GB2312"/>
          <w:color w:val="0000FF"/>
          <w:sz w:val="32"/>
          <w:szCs w:val="32"/>
        </w:rPr>
        <w:t>月</w:t>
      </w:r>
      <w:r>
        <w:rPr>
          <w:rFonts w:hint="eastAsia" w:ascii="仿宋_GB2312" w:hAnsi="仿宋_GB2312" w:eastAsia="仿宋_GB2312" w:cs="仿宋_GB2312"/>
          <w:bCs/>
          <w:color w:val="auto"/>
          <w:sz w:val="32"/>
          <w:szCs w:val="32"/>
        </w:rPr>
        <w:t>。</w:t>
      </w:r>
    </w:p>
    <w:p>
      <w:pPr>
        <w:snapToGrid w:val="0"/>
        <w:spacing w:line="560" w:lineRule="exact"/>
        <w:ind w:firstLine="643" w:firstLineChars="200"/>
        <w:outlineLvl w:val="1"/>
        <w:rPr>
          <w:rFonts w:hint="eastAsia" w:ascii="楷体_GB2312" w:hAnsi="楷体_GB2312" w:eastAsia="楷体_GB2312" w:cs="楷体_GB2312"/>
          <w:b/>
          <w:bCs w:val="0"/>
          <w:color w:val="auto"/>
          <w:sz w:val="32"/>
          <w:szCs w:val="32"/>
        </w:rPr>
      </w:pPr>
      <w:bookmarkStart w:id="34" w:name="_Toc102806538"/>
      <w:r>
        <w:rPr>
          <w:rFonts w:hint="eastAsia" w:ascii="楷体_GB2312" w:hAnsi="楷体_GB2312" w:eastAsia="楷体_GB2312" w:cs="楷体_GB2312"/>
          <w:b/>
          <w:bCs w:val="0"/>
          <w:color w:val="auto"/>
          <w:sz w:val="32"/>
          <w:szCs w:val="32"/>
        </w:rPr>
        <w:t>（一）年龄</w:t>
      </w:r>
      <w:bookmarkEnd w:id="34"/>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0000FF"/>
          <w:sz w:val="32"/>
          <w:szCs w:val="32"/>
        </w:rPr>
        <w:t>最高年龄要求35周岁是指18周岁以上、35周岁以下（在198</w:t>
      </w:r>
      <w:r>
        <w:rPr>
          <w:rFonts w:hint="eastAsia" w:ascii="仿宋_GB2312" w:eastAsia="仿宋_GB2312"/>
          <w:color w:val="0000FF"/>
          <w:sz w:val="32"/>
          <w:szCs w:val="32"/>
          <w:lang w:val="en-US" w:eastAsia="zh-CN"/>
        </w:rPr>
        <w:t>7</w:t>
      </w:r>
      <w:r>
        <w:rPr>
          <w:rFonts w:hint="eastAsia" w:ascii="仿宋_GB2312" w:eastAsia="仿宋_GB2312"/>
          <w:color w:val="0000FF"/>
          <w:sz w:val="32"/>
          <w:szCs w:val="32"/>
        </w:rPr>
        <w:t>年</w:t>
      </w:r>
      <w:r>
        <w:rPr>
          <w:rFonts w:hint="eastAsia" w:ascii="仿宋_GB2312" w:eastAsia="仿宋_GB2312"/>
          <w:color w:val="0000FF"/>
          <w:sz w:val="32"/>
          <w:szCs w:val="32"/>
          <w:lang w:val="en-US" w:eastAsia="zh-CN"/>
        </w:rPr>
        <w:t>9</w:t>
      </w:r>
      <w:r>
        <w:rPr>
          <w:rFonts w:hint="eastAsia" w:ascii="仿宋_GB2312" w:eastAsia="仿宋_GB2312"/>
          <w:color w:val="0000FF"/>
          <w:sz w:val="32"/>
          <w:szCs w:val="32"/>
        </w:rPr>
        <w:t>月至200</w:t>
      </w:r>
      <w:r>
        <w:rPr>
          <w:rFonts w:hint="eastAsia" w:ascii="仿宋_GB2312" w:eastAsia="仿宋_GB2312"/>
          <w:color w:val="0000FF"/>
          <w:sz w:val="32"/>
          <w:szCs w:val="32"/>
          <w:lang w:val="en-US" w:eastAsia="zh-CN"/>
        </w:rPr>
        <w:t>5</w:t>
      </w:r>
      <w:r>
        <w:rPr>
          <w:rFonts w:hint="eastAsia" w:ascii="仿宋_GB2312" w:eastAsia="仿宋_GB2312"/>
          <w:color w:val="0000FF"/>
          <w:sz w:val="32"/>
          <w:szCs w:val="32"/>
        </w:rPr>
        <w:t>年</w:t>
      </w:r>
      <w:r>
        <w:rPr>
          <w:rFonts w:hint="eastAsia" w:ascii="仿宋_GB2312" w:eastAsia="仿宋_GB2312"/>
          <w:color w:val="0000FF"/>
          <w:sz w:val="32"/>
          <w:szCs w:val="32"/>
          <w:lang w:val="en-US" w:eastAsia="zh-CN"/>
        </w:rPr>
        <w:t>9</w:t>
      </w:r>
      <w:r>
        <w:rPr>
          <w:rFonts w:hint="eastAsia" w:ascii="仿宋_GB2312" w:eastAsia="仿宋_GB2312"/>
          <w:color w:val="0000FF"/>
          <w:sz w:val="32"/>
          <w:szCs w:val="32"/>
        </w:rPr>
        <w:t>月期间出生）的人员。</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其他年龄要求按此类推。</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bookmarkStart w:id="35" w:name="_Toc102806539"/>
      <w:r>
        <w:rPr>
          <w:rFonts w:hint="eastAsia" w:ascii="楷体_GB2312" w:hAnsi="楷体_GB2312" w:eastAsia="楷体_GB2312" w:cs="楷体_GB2312"/>
          <w:b/>
          <w:bCs w:val="0"/>
          <w:sz w:val="32"/>
          <w:szCs w:val="32"/>
        </w:rPr>
        <w:t>（二）资格（历）等</w:t>
      </w:r>
      <w:bookmarkEnd w:id="35"/>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岗位资格条件、《简章》和《报考须知》要求具有××条件以上的，如无特别说明，均含本数。如：具有2年以上工作经验，指截至报名截止当月具有2年或2年以上工作经验。</w:t>
      </w:r>
    </w:p>
    <w:p>
      <w:pPr>
        <w:numPr>
          <w:ilvl w:val="0"/>
          <w:numId w:val="1"/>
        </w:numPr>
        <w:snapToGrid w:val="0"/>
        <w:spacing w:line="560" w:lineRule="exact"/>
        <w:ind w:firstLine="640" w:firstLineChars="200"/>
        <w:outlineLvl w:val="0"/>
        <w:rPr>
          <w:rFonts w:hint="eastAsia" w:ascii="黑体" w:hAnsi="黑体" w:eastAsia="黑体" w:cs="黑体"/>
          <w:sz w:val="32"/>
          <w:szCs w:val="32"/>
        </w:rPr>
      </w:pPr>
      <w:bookmarkStart w:id="36" w:name="_Toc102806540"/>
      <w:r>
        <w:rPr>
          <w:rFonts w:hint="eastAsia" w:ascii="黑体" w:hAnsi="黑体" w:eastAsia="黑体" w:cs="黑体"/>
          <w:sz w:val="32"/>
          <w:szCs w:val="32"/>
        </w:rPr>
        <w:t>学历（位）认定</w:t>
      </w:r>
      <w:bookmarkEnd w:id="36"/>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报考者的学历应为国家承认的国民教育序列学历。</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（一）境内学历（位）</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eastAsia="仿宋_GB2312"/>
          <w:sz w:val="32"/>
          <w:szCs w:val="32"/>
        </w:rPr>
        <w:t>用于报考的学历</w:t>
      </w:r>
      <w:r>
        <w:rPr>
          <w:rFonts w:hint="eastAsia" w:ascii="仿宋_GB2312" w:eastAsia="仿宋_GB2312"/>
          <w:color w:val="auto"/>
          <w:sz w:val="32"/>
          <w:szCs w:val="32"/>
          <w:highlight w:val="none"/>
          <w:u w:val="none"/>
          <w:lang w:eastAsia="zh-CN"/>
        </w:rPr>
        <w:t>（位）</w:t>
      </w:r>
      <w:r>
        <w:rPr>
          <w:rFonts w:hint="eastAsia" w:ascii="仿宋_GB2312" w:hAnsi="仿宋_GB2312" w:eastAsia="仿宋_GB2312" w:cs="仿宋_GB2312"/>
          <w:sz w:val="32"/>
          <w:szCs w:val="32"/>
        </w:rPr>
        <w:t>（含自学考试、成人教育、网络教育、夜大、电大等）应在中国高等教育学生信息网（简称“学信网”，http://www.chsi.com.cn/）上可查询认证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已取得国家承认的列入国民教育序列学历的报考者，以辅修专业报考的，其专业资格也可以按照本人同时收录在“学信网”“学信档案”版块“学历信息”和“学位信息”栏目的辅修专业信息予以认定。</w:t>
      </w:r>
    </w:p>
    <w:p>
      <w:pPr>
        <w:ind w:firstLine="643" w:firstLineChars="200"/>
        <w:outlineLvl w:val="1"/>
        <w:rPr>
          <w:rFonts w:hint="eastAsia" w:ascii="楷体" w:hAnsi="楷体" w:eastAsia="楷体"/>
          <w:b/>
          <w:color w:val="auto"/>
          <w:sz w:val="32"/>
          <w:szCs w:val="32"/>
          <w:highlight w:val="none"/>
          <w:u w:val="none"/>
        </w:rPr>
      </w:pPr>
      <w:r>
        <w:rPr>
          <w:rFonts w:hint="eastAsia" w:ascii="楷体" w:hAnsi="楷体" w:eastAsia="楷体"/>
          <w:b/>
          <w:color w:val="auto"/>
          <w:sz w:val="32"/>
          <w:szCs w:val="32"/>
          <w:highlight w:val="none"/>
          <w:u w:val="none"/>
        </w:rPr>
        <w:t>（二）第二学士学位</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根据《教育部办公厅关于在普通高校继续开展第二学士学位教育的通知》（教高厅函〔2020〕9号）取得第二学士学位的毕业证书和学位证书，与对应本科专业相应证书具有同等效力，按上述要求进行查询认证。</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eastAsia="zh-CN"/>
        </w:rPr>
        <w:t>三</w:t>
      </w:r>
      <w:r>
        <w:rPr>
          <w:rFonts w:hint="eastAsia" w:ascii="楷体_GB2312" w:hAnsi="楷体_GB2312" w:eastAsia="楷体_GB2312" w:cs="楷体_GB2312"/>
          <w:b/>
          <w:bCs w:val="0"/>
          <w:sz w:val="32"/>
          <w:szCs w:val="32"/>
        </w:rPr>
        <w:t>）国（境）外学历（位）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持国（境）外学历（位）报考的，应提供教育部留学服务中心出具的《国外学历学位认证书》或《香港、澳门特别行政区学历学位认证书》等有关证明材料。</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属于国内院校与国（境）外院校联合办学取得国（境）外学历学位的，需提供教育部留学服务中心出具的《联合办学学历学位评估意见书》或《联合办学学历学位认证书》。</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eastAsia="zh-CN"/>
        </w:rPr>
        <w:t>四</w:t>
      </w:r>
      <w:r>
        <w:rPr>
          <w:rFonts w:hint="eastAsia" w:ascii="楷体_GB2312" w:hAnsi="楷体_GB2312" w:eastAsia="楷体_GB2312" w:cs="楷体_GB2312"/>
          <w:b/>
          <w:bCs w:val="0"/>
          <w:sz w:val="32"/>
          <w:szCs w:val="32"/>
        </w:rPr>
        <w:t>）我省“双学位”“双专业”学历</w:t>
      </w:r>
    </w:p>
    <w:p>
      <w:pPr>
        <w:snapToGrid w:val="0"/>
        <w:spacing w:line="560" w:lineRule="exact"/>
        <w:ind w:firstLine="600"/>
        <w:jc w:val="left"/>
        <w:rPr>
          <w:rFonts w:ascii="仿宋_GB2312" w:eastAsia="仿宋_GB2312"/>
          <w:sz w:val="32"/>
          <w:szCs w:val="32"/>
        </w:rPr>
      </w:pPr>
      <w:r>
        <w:rPr>
          <w:rFonts w:hint="eastAsia" w:ascii="仿宋_GB2312" w:eastAsia="仿宋_GB2312"/>
          <w:sz w:val="32"/>
          <w:szCs w:val="32"/>
        </w:rPr>
        <w:t>根据《关于在全省高校毕业生中试行“双学位”“双专业”教育的意见》（闽教高〔2009〕9号），经修读达到毕业条件并获得“双学位”“双专业”证书的报考者，在本省范围内承认其学历、学位。</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eastAsia="zh-CN"/>
        </w:rPr>
        <w:t>五</w:t>
      </w:r>
      <w:r>
        <w:rPr>
          <w:rFonts w:hint="eastAsia" w:ascii="楷体_GB2312" w:hAnsi="楷体_GB2312" w:eastAsia="楷体_GB2312" w:cs="楷体_GB2312"/>
          <w:b/>
          <w:bCs w:val="0"/>
          <w:sz w:val="32"/>
          <w:szCs w:val="32"/>
        </w:rPr>
        <w:t>）提醒事项</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面试资格复核时，招聘单位将对学历（位）进行核查，请考生按照上述要求，提前做好相应认证报告或网上查验准备</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3</w:t>
      </w:r>
      <w:r>
        <w:rPr>
          <w:rFonts w:hint="eastAsia" w:ascii="仿宋_GB2312" w:hAnsi="仿宋_GB2312" w:eastAsia="仿宋_GB2312" w:cs="仿宋_GB2312"/>
          <w:color w:val="FF0000"/>
          <w:sz w:val="32"/>
          <w:szCs w:val="32"/>
        </w:rPr>
        <w:t>届</w:t>
      </w:r>
      <w:r>
        <w:rPr>
          <w:rFonts w:hint="eastAsia" w:ascii="仿宋_GB2312" w:hAnsi="仿宋_GB2312" w:eastAsia="仿宋_GB2312" w:cs="仿宋_GB2312"/>
          <w:color w:val="auto"/>
          <w:sz w:val="32"/>
          <w:szCs w:val="32"/>
        </w:rPr>
        <w:t>毕业生和持国（境）外学历（位）者在岗位资格复核时需提交或书面承诺于202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年12月31日前取得并能提供符合岗位报考条件的相应学历(位)证书及其认证材料，否则视为自动放弃考试（聘用）资格。</w:t>
      </w:r>
    </w:p>
    <w:p>
      <w:pPr>
        <w:snapToGrid w:val="0"/>
        <w:spacing w:line="560" w:lineRule="exact"/>
        <w:ind w:firstLine="640" w:firstLineChars="200"/>
        <w:outlineLvl w:val="0"/>
        <w:rPr>
          <w:rFonts w:ascii="黑体" w:hAnsi="黑体" w:eastAsia="黑体" w:cs="黑体"/>
          <w:sz w:val="32"/>
          <w:szCs w:val="32"/>
        </w:rPr>
      </w:pPr>
      <w:bookmarkStart w:id="37" w:name="_Toc102806541"/>
      <w:r>
        <w:rPr>
          <w:rFonts w:hint="eastAsia" w:ascii="黑体" w:hAnsi="黑体" w:eastAsia="黑体" w:cs="黑体"/>
          <w:sz w:val="32"/>
          <w:szCs w:val="32"/>
        </w:rPr>
        <w:t>六、专业</w:t>
      </w:r>
      <w:bookmarkEnd w:id="37"/>
    </w:p>
    <w:p>
      <w:pPr>
        <w:snapToGrid w:val="0"/>
        <w:spacing w:line="560" w:lineRule="exact"/>
        <w:ind w:firstLine="640" w:firstLineChars="200"/>
        <w:rPr>
          <w:rFonts w:ascii="仿宋_GB2312" w:hAnsi="仿宋_GB2312" w:eastAsia="仿宋_GB2312" w:cs="仿宋_GB2312"/>
          <w:sz w:val="32"/>
          <w:szCs w:val="32"/>
          <w:bdr w:val="single" w:color="auto" w:sz="4" w:space="0"/>
        </w:rPr>
      </w:pPr>
      <w:r>
        <w:rPr>
          <w:rFonts w:hint="eastAsia" w:ascii="仿宋_GB2312" w:eastAsia="仿宋_GB2312"/>
          <w:sz w:val="32"/>
          <w:szCs w:val="32"/>
        </w:rPr>
        <w:t>本次招考以《福建省机关事业单位招考专业指导目录</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sz w:val="32"/>
          <w:szCs w:val="32"/>
        </w:rPr>
        <w:t>（文中简称《专业指导目录》）作为岗位专业条件设置和审核的依据。其他来源的专业指导目录不作为本次报考和审核的依据</w:t>
      </w:r>
      <w:r>
        <w:rPr>
          <w:rFonts w:hint="eastAsia" w:ascii="仿宋_GB2312" w:hAnsi="仿宋_GB2312" w:eastAsia="仿宋_GB2312" w:cs="仿宋_GB2312"/>
          <w:sz w:val="32"/>
          <w:szCs w:val="32"/>
        </w:rPr>
        <w:t>。</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bookmarkStart w:id="38" w:name="_Toc102806542"/>
      <w:r>
        <w:rPr>
          <w:rFonts w:hint="eastAsia" w:ascii="楷体_GB2312" w:hAnsi="楷体_GB2312" w:eastAsia="楷体_GB2312" w:cs="楷体_GB2312"/>
          <w:b/>
          <w:bCs w:val="0"/>
          <w:sz w:val="32"/>
          <w:szCs w:val="32"/>
        </w:rPr>
        <w:t>（一）填报专业名称</w:t>
      </w:r>
      <w:bookmarkEnd w:id="38"/>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专业以毕业证书上注明的为准，</w:t>
      </w:r>
      <w:r>
        <w:rPr>
          <w:rFonts w:hint="eastAsia" w:ascii="仿宋_GB2312" w:hAnsi="仿宋_GB2312" w:eastAsia="仿宋_GB2312" w:cs="仿宋_GB2312"/>
          <w:sz w:val="32"/>
          <w:szCs w:val="32"/>
        </w:rPr>
        <w:t>报考者</w:t>
      </w:r>
      <w:r>
        <w:rPr>
          <w:rFonts w:hint="eastAsia" w:ascii="仿宋_GB2312" w:hAnsi="仿宋_GB2312" w:eastAsia="仿宋_GB2312" w:cs="仿宋_GB2312"/>
          <w:b/>
          <w:sz w:val="32"/>
          <w:szCs w:val="32"/>
        </w:rPr>
        <w:t>只字不差</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如实填写</w:t>
      </w:r>
      <w:r>
        <w:rPr>
          <w:rFonts w:hint="eastAsia" w:ascii="仿宋_GB2312" w:hAnsi="仿宋_GB2312" w:eastAsia="仿宋_GB2312" w:cs="仿宋_GB2312"/>
          <w:sz w:val="32"/>
          <w:szCs w:val="32"/>
        </w:rPr>
        <w:t>。</w:t>
      </w:r>
    </w:p>
    <w:p>
      <w:pPr>
        <w:snapToGrid w:val="0"/>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若所学专业在招生和培养时有专业方向、但未在毕业证书上体现的，应先按照毕业证书上注明的专业填写，并在网络报名系统的考生信息表备注栏中说明，再按照</w:t>
      </w:r>
      <w:r>
        <w:rPr>
          <w:rFonts w:hint="eastAsia" w:ascii="仿宋_GB2312" w:hAnsi="仿宋_GB2312" w:eastAsia="仿宋_GB2312" w:cs="仿宋_GB2312"/>
          <w:color w:val="auto"/>
          <w:sz w:val="32"/>
          <w:szCs w:val="32"/>
          <w:lang w:val="en-US" w:eastAsia="zh-CN"/>
        </w:rPr>
        <w:t>招聘</w:t>
      </w:r>
      <w:r>
        <w:rPr>
          <w:rFonts w:hint="default" w:ascii="仿宋_GB2312" w:hAnsi="仿宋_GB2312" w:eastAsia="仿宋_GB2312" w:cs="仿宋_GB2312"/>
          <w:color w:val="auto"/>
          <w:sz w:val="32"/>
          <w:szCs w:val="32"/>
          <w:lang w:val="en-US" w:eastAsia="zh-CN"/>
        </w:rPr>
        <w:t>单位要求提供学校教务部门出具的证明材料。</w:t>
      </w:r>
    </w:p>
    <w:p>
      <w:pPr>
        <w:snapToGrid w:val="0"/>
        <w:spacing w:line="560" w:lineRule="exact"/>
        <w:ind w:firstLine="640" w:firstLineChars="200"/>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以境外学历报考且专业名称为非汉语的，以教育部留学服务中心出具的相关证明为准。</w:t>
      </w:r>
    </w:p>
    <w:p>
      <w:pPr>
        <w:snapToGrid w:val="0"/>
        <w:spacing w:line="560" w:lineRule="exact"/>
        <w:ind w:firstLine="643" w:firstLineChars="200"/>
        <w:outlineLvl w:val="1"/>
        <w:rPr>
          <w:rFonts w:hint="eastAsia" w:ascii="楷体_GB2312" w:hAnsi="楷体_GB2312" w:eastAsia="楷体_GB2312" w:cs="楷体_GB2312"/>
          <w:b/>
          <w:bCs w:val="0"/>
          <w:sz w:val="32"/>
          <w:szCs w:val="32"/>
        </w:rPr>
      </w:pPr>
      <w:bookmarkStart w:id="39" w:name="_Toc102806543"/>
      <w:r>
        <w:rPr>
          <w:rFonts w:hint="eastAsia" w:ascii="楷体_GB2312" w:hAnsi="楷体_GB2312" w:eastAsia="楷体_GB2312" w:cs="楷体_GB2312"/>
          <w:b/>
          <w:bCs w:val="0"/>
          <w:sz w:val="32"/>
          <w:szCs w:val="32"/>
        </w:rPr>
        <w:t>（二）专业与学历（位）的对应关系</w:t>
      </w:r>
      <w:bookmarkEnd w:id="39"/>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例如，岗位要求本科学历、学士学位、工商管理专业。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考生A：取得英语专业本科学历、学士学位，后读取工商管理专业硕士学位（单证，无学历），该考生可报考该岗位。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考生B：取得英语专业本科学历、学士学位，后攻读工商管理专业硕士研究生（仅取得研究生学历未获硕士学位），该考生可报考该岗位。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考生C：取得英语专业本科学历、学士学位，辅修工商管理专业取得学士学位，该考生可报考该岗位。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考生D：取得英语专业本科学历、学士学位，函授工商管理专业取得本科学历，该考生可报考该岗位。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考生E：取得工商管理专业大专学历，专升本取得英语专业本科学历、学士学位，该考生不能报考该岗位。</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考生F：取得英语专业本科学历（未取得学士学位），取得工商管理专业硕士学位（无学历），该考生可报考该岗位。</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考生G：取得英语专业本科学历、学士学位，工商管理专业肄业，该考生不能报考该岗位</w:t>
      </w:r>
      <w:r>
        <w:rPr>
          <w:rFonts w:hint="eastAsia" w:ascii="仿宋_GB2312" w:hAnsi="仿宋_GB2312" w:eastAsia="仿宋_GB2312" w:cs="仿宋_GB2312"/>
          <w:sz w:val="32"/>
          <w:szCs w:val="32"/>
        </w:rPr>
        <w:t>。</w:t>
      </w:r>
    </w:p>
    <w:p>
      <w:pPr>
        <w:snapToGrid w:val="0"/>
        <w:spacing w:line="560" w:lineRule="exact"/>
        <w:ind w:firstLine="643" w:firstLineChars="200"/>
        <w:outlineLvl w:val="1"/>
        <w:rPr>
          <w:rFonts w:ascii="楷体_GB2312" w:hAnsi="楷体_GB2312" w:eastAsia="楷体_GB2312" w:cs="楷体_GB2312"/>
          <w:b/>
          <w:bCs/>
          <w:sz w:val="32"/>
          <w:szCs w:val="32"/>
        </w:rPr>
      </w:pPr>
      <w:bookmarkStart w:id="40" w:name="_Toc102806544"/>
      <w:r>
        <w:rPr>
          <w:rFonts w:hint="eastAsia" w:ascii="楷体_GB2312" w:hAnsi="楷体_GB2312" w:eastAsia="楷体_GB2312" w:cs="楷体_GB2312"/>
          <w:b/>
          <w:bCs/>
          <w:sz w:val="32"/>
          <w:szCs w:val="32"/>
        </w:rPr>
        <w:t>（三）专业资格的认定</w:t>
      </w:r>
      <w:bookmarkEnd w:id="40"/>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将专业条件设置为“××类”的招聘岗位，报考者所学专业须符合《专业指导目录》中“××类”下所列专业；将专业条件设置为具体专业名称的，报考者所学专业须符合所列专业。</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专业要求“临床医学”专业的，含“临床医学”或“临床医学硕士”或“临床医学博士”，其他专业以此类推。</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经与招聘单位沟通，若报考者对专业资格审查结果仍有异议的，可在规定期限内及时通过“报名系统”的申诉通道提出申诉。</w:t>
      </w:r>
    </w:p>
    <w:p>
      <w:pPr>
        <w:snapToGrid w:val="0"/>
        <w:spacing w:line="560" w:lineRule="exact"/>
        <w:ind w:firstLine="640" w:firstLineChars="200"/>
        <w:outlineLvl w:val="0"/>
        <w:rPr>
          <w:rFonts w:hint="eastAsia" w:ascii="黑体" w:hAnsi="黑体" w:eastAsia="黑体" w:cs="黑体"/>
          <w:sz w:val="32"/>
          <w:szCs w:val="32"/>
          <w:lang w:eastAsia="zh-CN"/>
        </w:rPr>
      </w:pPr>
      <w:bookmarkStart w:id="41" w:name="_Toc102806545"/>
      <w:r>
        <w:rPr>
          <w:rFonts w:hint="eastAsia" w:ascii="黑体" w:hAnsi="黑体" w:eastAsia="黑体" w:cs="黑体"/>
          <w:sz w:val="32"/>
          <w:szCs w:val="32"/>
        </w:rPr>
        <w:t>七、工作经验</w:t>
      </w:r>
      <w:bookmarkEnd w:id="41"/>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资格条件要求的“专业工作经验”，应聘人员须提供养老保险缴费凭证或工资发放表等有效凭证、聘用(劳动)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全日制普通教育期间的社会实践经历(含兼职工作等)，不能视为工作经验。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岗位资格条件要求的工作经验年限可以分段按月合并计算。不同单位的相同（似）工作经验证明可分别开具，累计计算。</w:t>
      </w:r>
    </w:p>
    <w:p>
      <w:pPr>
        <w:snapToGrid w:val="0"/>
        <w:spacing w:line="560" w:lineRule="exact"/>
        <w:ind w:firstLine="640" w:firstLineChars="200"/>
        <w:outlineLvl w:val="1"/>
        <w:rPr>
          <w:rFonts w:ascii="楷体_GB2312" w:hAnsi="楷体_GB2312" w:eastAsia="楷体_GB2312" w:cs="楷体_GB2312"/>
          <w:sz w:val="32"/>
          <w:szCs w:val="32"/>
        </w:rPr>
      </w:pPr>
      <w:bookmarkStart w:id="42" w:name="_Toc102806546"/>
      <w:r>
        <w:rPr>
          <w:rFonts w:hint="eastAsia" w:ascii="黑体" w:hAnsi="黑体" w:eastAsia="黑体" w:cs="黑体"/>
          <w:sz w:val="32"/>
          <w:szCs w:val="32"/>
        </w:rPr>
        <w:t>八、可免笔试情形</w:t>
      </w:r>
      <w:bookmarkEnd w:id="42"/>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招聘岗位要求副高以上专业技术职务任职资格的，招聘组织单位可根据实际情况，准许具有与招聘岗位专业要求相一致的副高以上专业技术职务任职资格的应聘人员免笔试直接参加面试，但当岗位符合条件的报名人数（指通过网上报名资格审核的人数，下同）与拟聘用人数比例超过5:1（不含5:1）时，所有报考人员均须参加笔试。</w:t>
      </w:r>
      <w:r>
        <w:rPr>
          <w:rFonts w:hint="eastAsia" w:ascii="仿宋_GB2312" w:hAnsi="仿宋_GB2312" w:eastAsia="仿宋_GB2312" w:cs="仿宋_GB2312"/>
          <w:sz w:val="32"/>
          <w:szCs w:val="32"/>
        </w:rPr>
        <w:t>其他岗位人员均须参加笔试。</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免笔试岗位由招聘单位及其主管部门于报名结束后，根据具体情况及时</w:t>
      </w:r>
      <w:r>
        <w:rPr>
          <w:rFonts w:hint="eastAsia" w:ascii="仿宋_GB2312" w:hAnsi="仿宋_GB2312" w:eastAsia="仿宋_GB2312" w:cs="仿宋_GB2312"/>
          <w:sz w:val="32"/>
          <w:szCs w:val="32"/>
        </w:rPr>
        <w:t>研究提出，经区人社局同意并事前报备市人社局</w:t>
      </w:r>
      <w:r>
        <w:rPr>
          <w:rFonts w:hint="eastAsia" w:ascii="仿宋_GB2312" w:eastAsia="仿宋_GB2312"/>
          <w:sz w:val="32"/>
          <w:szCs w:val="32"/>
        </w:rPr>
        <w:t>。</w:t>
      </w:r>
    </w:p>
    <w:p>
      <w:pPr>
        <w:snapToGrid w:val="0"/>
        <w:spacing w:line="560" w:lineRule="exact"/>
        <w:ind w:firstLine="640" w:firstLineChars="200"/>
        <w:outlineLvl w:val="1"/>
        <w:rPr>
          <w:rFonts w:ascii="黑体" w:hAnsi="黑体" w:eastAsia="黑体" w:cs="黑体"/>
          <w:sz w:val="32"/>
          <w:szCs w:val="32"/>
        </w:rPr>
      </w:pPr>
      <w:bookmarkStart w:id="43" w:name="_Toc102806547"/>
      <w:bookmarkStart w:id="44" w:name="_Toc70495082"/>
      <w:r>
        <w:rPr>
          <w:rFonts w:hint="eastAsia" w:ascii="黑体" w:hAnsi="黑体" w:eastAsia="黑体" w:cs="黑体"/>
          <w:sz w:val="32"/>
          <w:szCs w:val="32"/>
        </w:rPr>
        <w:t>九、岗位开考比例</w:t>
      </w:r>
      <w:bookmarkEnd w:id="43"/>
      <w:bookmarkEnd w:id="44"/>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符合岗位资格条件的报名人数与岗位拟聘人数比例达不到3:1的，原则上应相应减少招聘人数或取消开考</w:t>
      </w:r>
      <w:r>
        <w:rPr>
          <w:rFonts w:hint="eastAsia" w:ascii="仿宋_GB2312" w:hAnsi="仿宋_GB2312" w:eastAsia="仿宋_GB2312" w:cs="仿宋_GB2312"/>
          <w:sz w:val="32"/>
          <w:szCs w:val="32"/>
        </w:rPr>
        <w:t>。</w:t>
      </w:r>
    </w:p>
    <w:p>
      <w:pPr>
        <w:snapToGrid w:val="0"/>
        <w:spacing w:line="560" w:lineRule="exact"/>
        <w:ind w:firstLine="640" w:firstLineChars="200"/>
        <w:outlineLvl w:val="0"/>
        <w:rPr>
          <w:rFonts w:ascii="仿宋_GB2312" w:eastAsia="仿宋_GB2312"/>
          <w:sz w:val="32"/>
          <w:szCs w:val="32"/>
        </w:rPr>
      </w:pPr>
      <w:bookmarkStart w:id="45" w:name="_Toc102806548"/>
      <w:r>
        <w:rPr>
          <w:rFonts w:hint="eastAsia" w:ascii="仿宋_GB2312" w:eastAsia="仿宋_GB2312"/>
          <w:sz w:val="32"/>
          <w:szCs w:val="32"/>
        </w:rPr>
        <w:t>按要求取消开考、减少招聘人数的岗位由招聘单位及其主管部门研究提出意见，经区人社局同意并报备市人社局后在“考务信息通知平台”另行公告。情况特殊确需降低开考比例的岗位，由招聘单位及其主管部门研究提出意见，经区人社局同意并报市人社局批准后在“考务信息通知平台”另行公告。</w:t>
      </w:r>
    </w:p>
    <w:p>
      <w:pPr>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十、笔试加分</w:t>
      </w:r>
      <w:bookmarkEnd w:id="45"/>
    </w:p>
    <w:p>
      <w:pPr>
        <w:snapToGrid w:val="0"/>
        <w:spacing w:line="560" w:lineRule="exact"/>
        <w:ind w:firstLine="643" w:firstLineChars="200"/>
        <w:outlineLvl w:val="1"/>
        <w:rPr>
          <w:rFonts w:ascii="楷体_GB2312" w:hAnsi="楷体_GB2312" w:eastAsia="楷体_GB2312" w:cs="楷体_GB2312"/>
          <w:b/>
          <w:bCs/>
          <w:sz w:val="32"/>
          <w:szCs w:val="32"/>
        </w:rPr>
      </w:pPr>
      <w:bookmarkStart w:id="46" w:name="_Toc102806549"/>
      <w:r>
        <w:rPr>
          <w:rFonts w:hint="eastAsia" w:ascii="楷体_GB2312" w:hAnsi="楷体_GB2312" w:eastAsia="楷体_GB2312" w:cs="楷体_GB2312"/>
          <w:b/>
          <w:bCs/>
          <w:sz w:val="32"/>
          <w:szCs w:val="32"/>
        </w:rPr>
        <w:t>（一）加分原则</w:t>
      </w:r>
      <w:bookmarkEnd w:id="46"/>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笔试成绩=笔试卷面分+各项加分。</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加分仅限于笔试卷面分，免笔试人员在面试环节不享受加分。加分不受笔试满分限制。</w:t>
      </w:r>
      <w:r>
        <w:rPr>
          <w:rFonts w:hint="eastAsia" w:ascii="仿宋_GB2312" w:eastAsia="仿宋_GB2312"/>
          <w:b/>
          <w:bCs/>
          <w:sz w:val="32"/>
          <w:szCs w:val="32"/>
        </w:rPr>
        <w:t>各项加分可累计计算，但累计最高不超过10分。</w:t>
      </w:r>
      <w:r>
        <w:rPr>
          <w:rFonts w:hint="eastAsia" w:ascii="仿宋_GB2312" w:eastAsia="仿宋_GB2312"/>
          <w:sz w:val="32"/>
          <w:szCs w:val="32"/>
        </w:rPr>
        <w:t>曾通过享受政策待遇被录（聘）为公务员或事业单位编内工作人员的，不再享受相应项目的加分</w:t>
      </w:r>
      <w:r>
        <w:rPr>
          <w:rFonts w:hint="eastAsia" w:ascii="仿宋_GB2312" w:hAnsi="仿宋_GB2312" w:eastAsia="仿宋_GB2312" w:cs="仿宋_GB2312"/>
          <w:sz w:val="32"/>
          <w:szCs w:val="32"/>
        </w:rPr>
        <w:t>。</w:t>
      </w:r>
    </w:p>
    <w:p>
      <w:pPr>
        <w:snapToGrid w:val="0"/>
        <w:spacing w:line="560" w:lineRule="exact"/>
        <w:ind w:firstLine="643" w:firstLineChars="200"/>
        <w:outlineLvl w:val="1"/>
        <w:rPr>
          <w:rFonts w:ascii="楷体_GB2312" w:hAnsi="楷体_GB2312" w:eastAsia="楷体_GB2312" w:cs="楷体_GB2312"/>
          <w:b/>
          <w:bCs/>
          <w:sz w:val="32"/>
          <w:szCs w:val="32"/>
        </w:rPr>
      </w:pPr>
      <w:bookmarkStart w:id="47" w:name="_Toc102806550"/>
      <w:r>
        <w:rPr>
          <w:rFonts w:hint="eastAsia" w:ascii="楷体_GB2312" w:hAnsi="楷体_GB2312" w:eastAsia="楷体_GB2312" w:cs="楷体_GB2312"/>
          <w:b/>
          <w:bCs/>
          <w:sz w:val="32"/>
          <w:szCs w:val="32"/>
        </w:rPr>
        <w:t>（二）加分对象</w:t>
      </w:r>
      <w:bookmarkEnd w:id="47"/>
    </w:p>
    <w:p>
      <w:pPr>
        <w:ind w:firstLine="640" w:firstLineChars="200"/>
        <w:rPr>
          <w:rFonts w:ascii="仿宋" w:hAnsi="仿宋" w:eastAsia="仿宋"/>
          <w:sz w:val="32"/>
          <w:szCs w:val="32"/>
        </w:rPr>
      </w:pPr>
      <w:bookmarkStart w:id="48" w:name="_Toc25371"/>
      <w:bookmarkStart w:id="49" w:name="_Toc17898"/>
      <w:bookmarkStart w:id="50" w:name="_Toc9098"/>
      <w:bookmarkStart w:id="51" w:name="_Toc13976"/>
      <w:bookmarkStart w:id="52" w:name="_Toc15632"/>
      <w:bookmarkStart w:id="53" w:name="_Toc10848"/>
      <w:r>
        <w:rPr>
          <w:rFonts w:hint="eastAsia" w:ascii="仿宋" w:hAnsi="仿宋" w:eastAsia="仿宋"/>
          <w:sz w:val="32"/>
          <w:szCs w:val="32"/>
        </w:rPr>
        <w:t>经报名资格审核通过并符合以下加分政策的报考人员可享受笔试加分待遇：</w:t>
      </w:r>
    </w:p>
    <w:p>
      <w:pPr>
        <w:ind w:firstLine="643" w:firstLineChars="200"/>
        <w:outlineLvl w:val="2"/>
        <w:rPr>
          <w:rFonts w:ascii="仿宋_GB2312" w:hAnsi="仿宋_GB2312" w:eastAsia="仿宋_GB2312" w:cs="仿宋_GB2312"/>
          <w:b/>
          <w:bCs/>
          <w:sz w:val="32"/>
          <w:szCs w:val="32"/>
        </w:rPr>
      </w:pPr>
      <w:bookmarkStart w:id="54" w:name="_Toc102806551"/>
      <w:r>
        <w:rPr>
          <w:rFonts w:hint="eastAsia" w:ascii="仿宋_GB2312" w:hAnsi="仿宋_GB2312" w:eastAsia="仿宋_GB2312" w:cs="仿宋_GB2312"/>
          <w:b/>
          <w:bCs/>
          <w:sz w:val="32"/>
          <w:szCs w:val="32"/>
        </w:rPr>
        <w:t>1.服务基层项目高校毕业人员</w:t>
      </w:r>
      <w:bookmarkEnd w:id="48"/>
      <w:bookmarkEnd w:id="49"/>
      <w:bookmarkEnd w:id="50"/>
      <w:bookmarkEnd w:id="51"/>
      <w:bookmarkEnd w:id="52"/>
      <w:bookmarkEnd w:id="53"/>
      <w:bookmarkEnd w:id="54"/>
    </w:p>
    <w:p>
      <w:pPr>
        <w:ind w:firstLine="640" w:firstLineChars="200"/>
        <w:rPr>
          <w:rFonts w:ascii="仿宋_GB2312" w:eastAsia="仿宋_GB2312"/>
          <w:sz w:val="32"/>
          <w:szCs w:val="32"/>
        </w:rPr>
      </w:pPr>
      <w:r>
        <w:rPr>
          <w:rFonts w:hint="eastAsia" w:ascii="仿宋_GB2312" w:eastAsia="仿宋_GB2312"/>
          <w:sz w:val="32"/>
          <w:szCs w:val="32"/>
        </w:rPr>
        <w:t>参加国家和福建省组织实施的“三支一扶”计划、“志愿服务西部计划”（含研究生支教团）、“志愿服务欠发达地区计划”和“服务社区计划”等，服务期限为1年及以上且于</w:t>
      </w:r>
      <w:r>
        <w:rPr>
          <w:rFonts w:hint="eastAsia" w:ascii="仿宋_GB2312" w:eastAsia="仿宋_GB2312"/>
          <w:sz w:val="32"/>
          <w:szCs w:val="32"/>
          <w:lang w:val="en-US" w:eastAsia="zh-CN"/>
        </w:rPr>
        <w:t>2</w:t>
      </w:r>
      <w:r>
        <w:rPr>
          <w:rFonts w:hint="eastAsia" w:ascii="仿宋_GB2312" w:eastAsia="仿宋_GB2312"/>
          <w:color w:val="auto"/>
          <w:sz w:val="32"/>
          <w:szCs w:val="32"/>
          <w:highlight w:val="none"/>
          <w:lang w:val="en-US" w:eastAsia="zh-CN"/>
        </w:rPr>
        <w:t>023年12月31日</w:t>
      </w:r>
      <w:r>
        <w:rPr>
          <w:rFonts w:hint="eastAsia" w:ascii="仿宋_GB2312" w:eastAsia="仿宋_GB2312"/>
          <w:color w:val="auto"/>
          <w:sz w:val="32"/>
          <w:szCs w:val="32"/>
          <w:highlight w:val="none"/>
          <w:lang w:eastAsia="zh-CN"/>
        </w:rPr>
        <w:t>前</w:t>
      </w:r>
      <w:r>
        <w:rPr>
          <w:rFonts w:hint="eastAsia" w:ascii="仿宋_GB2312" w:eastAsia="仿宋_GB2312"/>
          <w:sz w:val="32"/>
          <w:szCs w:val="32"/>
        </w:rPr>
        <w:t>期满考核合格的福建户籍或福建生源高校毕业人员：</w:t>
      </w:r>
      <w:r>
        <w:rPr>
          <w:rFonts w:hint="eastAsia" w:ascii="仿宋_GB2312" w:eastAsia="仿宋_GB2312"/>
          <w:color w:val="auto"/>
          <w:sz w:val="32"/>
          <w:szCs w:val="32"/>
          <w:highlight w:val="none"/>
        </w:rPr>
        <w:t>服务期限2年及以上且期满考核合格的服务基层项目毕业生，</w:t>
      </w:r>
      <w:r>
        <w:rPr>
          <w:rFonts w:hint="eastAsia" w:ascii="仿宋_GB2312" w:eastAsia="仿宋_GB2312"/>
          <w:strike w:val="0"/>
          <w:dstrike w:val="0"/>
          <w:sz w:val="32"/>
          <w:szCs w:val="32"/>
        </w:rPr>
        <w:t>报考市属事业单位笔试卷面分加3分</w:t>
      </w:r>
      <w:r>
        <w:rPr>
          <w:rFonts w:hint="eastAsia" w:ascii="仿宋_GB2312" w:eastAsia="仿宋_GB2312"/>
          <w:strike w:val="0"/>
          <w:dstrike w:val="0"/>
          <w:sz w:val="32"/>
          <w:szCs w:val="32"/>
          <w:lang w:eastAsia="zh-CN"/>
        </w:rPr>
        <w:t>，</w:t>
      </w:r>
      <w:r>
        <w:rPr>
          <w:rFonts w:hint="eastAsia" w:ascii="仿宋_GB2312" w:eastAsia="仿宋_GB2312"/>
          <w:color w:val="auto"/>
          <w:sz w:val="32"/>
          <w:szCs w:val="32"/>
          <w:highlight w:val="none"/>
        </w:rPr>
        <w:t>报考区属事业单位笔试卷面分加5分；服务期限1年及以上不满2年且期满考核合格的服务基层项目毕业生，</w:t>
      </w:r>
      <w:r>
        <w:rPr>
          <w:rFonts w:hint="eastAsia" w:ascii="仿宋_GB2312" w:eastAsia="仿宋_GB2312"/>
          <w:strike w:val="0"/>
          <w:dstrike w:val="0"/>
          <w:sz w:val="32"/>
          <w:szCs w:val="32"/>
        </w:rPr>
        <w:t>报考市属事业单位不加分</w:t>
      </w:r>
      <w:r>
        <w:rPr>
          <w:rFonts w:hint="eastAsia" w:ascii="仿宋_GB2312" w:eastAsia="仿宋_GB2312"/>
          <w:strike w:val="0"/>
          <w:dstrike w:val="0"/>
          <w:sz w:val="32"/>
          <w:szCs w:val="32"/>
          <w:lang w:eastAsia="zh-CN"/>
        </w:rPr>
        <w:t>，</w:t>
      </w:r>
      <w:r>
        <w:rPr>
          <w:rFonts w:hint="eastAsia" w:ascii="仿宋_GB2312" w:eastAsia="仿宋_GB2312"/>
          <w:color w:val="auto"/>
          <w:sz w:val="32"/>
          <w:szCs w:val="32"/>
          <w:highlight w:val="none"/>
        </w:rPr>
        <w:t>报考区属事业单位笔试卷面分加5分</w:t>
      </w:r>
      <w:r>
        <w:rPr>
          <w:rFonts w:hint="eastAsia" w:ascii="仿宋_GB2312" w:eastAsia="仿宋_GB2312"/>
          <w:sz w:val="32"/>
          <w:szCs w:val="32"/>
        </w:rPr>
        <w:t xml:space="preserve">。 </w:t>
      </w:r>
    </w:p>
    <w:p>
      <w:pPr>
        <w:ind w:firstLine="643" w:firstLineChars="200"/>
        <w:outlineLvl w:val="2"/>
        <w:rPr>
          <w:rFonts w:ascii="仿宋_GB2312" w:hAnsi="仿宋_GB2312" w:eastAsia="仿宋_GB2312" w:cs="仿宋_GB2312"/>
          <w:b/>
          <w:bCs/>
          <w:sz w:val="32"/>
          <w:szCs w:val="32"/>
        </w:rPr>
      </w:pPr>
      <w:bookmarkStart w:id="55" w:name="_Toc102806552"/>
      <w:bookmarkStart w:id="56" w:name="_Toc12368"/>
      <w:bookmarkStart w:id="57" w:name="_Toc3463"/>
      <w:bookmarkStart w:id="58" w:name="_Toc22049"/>
      <w:bookmarkStart w:id="59" w:name="_Toc1747"/>
      <w:bookmarkStart w:id="60" w:name="_Toc23253"/>
      <w:bookmarkStart w:id="61" w:name="_Toc24980"/>
      <w:r>
        <w:rPr>
          <w:rFonts w:hint="eastAsia" w:ascii="仿宋_GB2312" w:hAnsi="仿宋_GB2312" w:eastAsia="仿宋_GB2312" w:cs="仿宋_GB2312"/>
          <w:b/>
          <w:bCs/>
          <w:sz w:val="32"/>
          <w:szCs w:val="32"/>
        </w:rPr>
        <w:t>2.退役士兵（含大学生退役士兵）</w:t>
      </w:r>
      <w:bookmarkEnd w:id="55"/>
      <w:bookmarkEnd w:id="56"/>
      <w:bookmarkEnd w:id="57"/>
      <w:bookmarkEnd w:id="58"/>
      <w:bookmarkEnd w:id="59"/>
      <w:bookmarkEnd w:id="60"/>
      <w:bookmarkEnd w:id="61"/>
    </w:p>
    <w:p>
      <w:pPr>
        <w:ind w:firstLine="640" w:firstLineChars="200"/>
        <w:rPr>
          <w:rFonts w:ascii="仿宋_GB2312" w:eastAsia="仿宋_GB2312"/>
          <w:sz w:val="32"/>
          <w:szCs w:val="32"/>
        </w:rPr>
      </w:pPr>
      <w:r>
        <w:rPr>
          <w:rFonts w:hint="eastAsia" w:ascii="仿宋_GB2312" w:eastAsia="仿宋_GB2312"/>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ind w:firstLine="643" w:firstLineChars="200"/>
        <w:outlineLvl w:val="2"/>
        <w:rPr>
          <w:rFonts w:ascii="仿宋_GB2312" w:hAnsi="仿宋_GB2312" w:eastAsia="仿宋_GB2312" w:cs="仿宋_GB2312"/>
          <w:b/>
          <w:bCs/>
          <w:sz w:val="32"/>
          <w:szCs w:val="32"/>
        </w:rPr>
      </w:pPr>
      <w:bookmarkStart w:id="62" w:name="_Toc102806553"/>
      <w:bookmarkStart w:id="63" w:name="_Toc21973"/>
      <w:bookmarkStart w:id="64" w:name="_Toc15434"/>
      <w:bookmarkStart w:id="65" w:name="_Toc31915"/>
      <w:bookmarkStart w:id="66" w:name="_Toc5502"/>
      <w:r>
        <w:rPr>
          <w:rFonts w:hint="eastAsia" w:ascii="仿宋_GB2312" w:hAnsi="仿宋_GB2312" w:eastAsia="仿宋_GB2312" w:cs="仿宋_GB2312"/>
          <w:b/>
          <w:bCs/>
          <w:sz w:val="32"/>
          <w:szCs w:val="32"/>
        </w:rPr>
        <w:t>3.退役优秀运动员</w:t>
      </w:r>
      <w:bookmarkEnd w:id="62"/>
      <w:bookmarkEnd w:id="63"/>
      <w:bookmarkEnd w:id="64"/>
      <w:bookmarkEnd w:id="65"/>
      <w:bookmarkEnd w:id="66"/>
    </w:p>
    <w:p>
      <w:pPr>
        <w:ind w:firstLine="640" w:firstLineChars="200"/>
        <w:rPr>
          <w:rFonts w:ascii="仿宋_GB2312" w:eastAsia="仿宋_GB2312"/>
          <w:sz w:val="32"/>
          <w:szCs w:val="32"/>
        </w:rPr>
      </w:pPr>
      <w:r>
        <w:rPr>
          <w:rFonts w:hint="eastAsia" w:ascii="仿宋_GB2312" w:eastAsia="仿宋_GB2312"/>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全国冠军赛或篮球、排球、足球全国职业联赛第2或第3名，亚洲体育三大比赛（亚运会、亚锦赛、亚洲杯）第4至第6名的，加7分。</w:t>
      </w:r>
    </w:p>
    <w:p>
      <w:pPr>
        <w:ind w:firstLine="643" w:firstLineChars="200"/>
        <w:outlineLvl w:val="1"/>
        <w:rPr>
          <w:rFonts w:ascii="楷体" w:hAnsi="楷体" w:eastAsia="楷体" w:cs="楷体"/>
          <w:b/>
          <w:bCs/>
          <w:sz w:val="32"/>
          <w:szCs w:val="32"/>
        </w:rPr>
      </w:pPr>
      <w:bookmarkStart w:id="67" w:name="_Toc102806554"/>
      <w:bookmarkStart w:id="68" w:name="_Toc30306"/>
      <w:bookmarkStart w:id="69" w:name="_Toc22910"/>
      <w:r>
        <w:rPr>
          <w:rFonts w:hint="eastAsia" w:ascii="楷体" w:hAnsi="楷体" w:eastAsia="楷体" w:cs="楷体"/>
          <w:b/>
          <w:bCs/>
          <w:sz w:val="32"/>
          <w:szCs w:val="32"/>
        </w:rPr>
        <w:t>（三）加分证明材料</w:t>
      </w:r>
      <w:bookmarkEnd w:id="67"/>
      <w:bookmarkEnd w:id="68"/>
      <w:bookmarkEnd w:id="69"/>
    </w:p>
    <w:p>
      <w:pPr>
        <w:ind w:firstLine="640" w:firstLineChars="200"/>
        <w:rPr>
          <w:rFonts w:ascii="仿宋_GB2312" w:eastAsia="仿宋_GB2312"/>
          <w:sz w:val="32"/>
          <w:szCs w:val="32"/>
        </w:rPr>
      </w:pPr>
      <w:r>
        <w:rPr>
          <w:rFonts w:hint="eastAsia" w:ascii="仿宋_GB2312" w:eastAsia="仿宋_GB2312"/>
          <w:sz w:val="32"/>
          <w:szCs w:val="32"/>
        </w:rPr>
        <w:t>符合加分政策的报考人员须在网上报名时如实填报，并于</w:t>
      </w:r>
      <w:r>
        <w:rPr>
          <w:rFonts w:hint="eastAsia" w:ascii="仿宋_GB2312" w:eastAsia="仿宋_GB2312"/>
          <w:sz w:val="32"/>
          <w:szCs w:val="32"/>
          <w:lang w:eastAsia="zh-CN"/>
        </w:rPr>
        <w:t>报名期间</w:t>
      </w:r>
      <w:r>
        <w:rPr>
          <w:rFonts w:hint="eastAsia" w:ascii="仿宋_GB2312" w:eastAsia="仿宋_GB2312"/>
          <w:sz w:val="32"/>
          <w:szCs w:val="32"/>
        </w:rPr>
        <w:t>主动向招聘单位沟通提交以下加分证明材料（提交方式请与招聘单位联系人联系），否则视为放弃享受加分政策：</w:t>
      </w:r>
    </w:p>
    <w:p>
      <w:pPr>
        <w:ind w:firstLine="640" w:firstLineChars="200"/>
        <w:rPr>
          <w:rFonts w:ascii="仿宋_GB2312" w:eastAsia="仿宋_GB2312"/>
          <w:sz w:val="32"/>
          <w:szCs w:val="32"/>
        </w:rPr>
      </w:pPr>
      <w:r>
        <w:rPr>
          <w:rFonts w:hint="eastAsia" w:ascii="仿宋_GB2312" w:eastAsia="仿宋_GB2312"/>
          <w:sz w:val="32"/>
          <w:szCs w:val="32"/>
        </w:rPr>
        <w:t>1.服务基层项目毕业生须提交组织实施相应项目的机构出具的服务基层期满考核合格证书（或服务期满考核合格材料），以及福建户籍或福建生源证明材料。</w:t>
      </w:r>
    </w:p>
    <w:p>
      <w:pPr>
        <w:ind w:firstLine="640" w:firstLineChars="200"/>
        <w:rPr>
          <w:rFonts w:ascii="仿宋_GB2312" w:eastAsia="仿宋_GB2312"/>
          <w:sz w:val="32"/>
          <w:szCs w:val="32"/>
        </w:rPr>
      </w:pPr>
      <w:r>
        <w:rPr>
          <w:rFonts w:hint="eastAsia" w:ascii="仿宋_GB2312" w:eastAsia="仿宋_GB2312"/>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3.符合加分政策的我市退役优秀运动员可持相应奖项证书前往厦门市体育局人事处开具证明材料(联系电话</w:t>
      </w:r>
      <w:r>
        <w:rPr>
          <w:rFonts w:hint="eastAsia" w:ascii="仿宋_GB2312" w:eastAsia="仿宋_GB2312"/>
          <w:color w:val="auto"/>
          <w:sz w:val="32"/>
          <w:szCs w:val="32"/>
        </w:rPr>
        <w:t>0592-533932</w:t>
      </w:r>
      <w:r>
        <w:rPr>
          <w:rFonts w:hint="eastAsia" w:ascii="仿宋_GB2312" w:eastAsia="仿宋_GB2312"/>
          <w:color w:val="auto"/>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sz w:val="32"/>
          <w:szCs w:val="32"/>
        </w:rPr>
        <w:t>。</w:t>
      </w:r>
    </w:p>
    <w:p>
      <w:pPr>
        <w:snapToGrid w:val="0"/>
        <w:spacing w:line="560" w:lineRule="exact"/>
        <w:ind w:firstLine="640" w:firstLineChars="200"/>
        <w:outlineLvl w:val="0"/>
        <w:rPr>
          <w:rFonts w:ascii="黑体" w:hAnsi="黑体" w:eastAsia="黑体" w:cs="黑体"/>
          <w:sz w:val="32"/>
          <w:szCs w:val="32"/>
        </w:rPr>
      </w:pPr>
      <w:bookmarkStart w:id="70" w:name="_Toc102806555"/>
      <w:r>
        <w:rPr>
          <w:rFonts w:hint="eastAsia" w:ascii="黑体" w:hAnsi="黑体" w:eastAsia="黑体" w:cs="黑体"/>
          <w:sz w:val="32"/>
          <w:szCs w:val="32"/>
        </w:rPr>
        <w:t>十一、综合总分计算</w:t>
      </w:r>
      <w:bookmarkEnd w:id="70"/>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综合总分合格线为60分，其中：</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（一）免笔试参加面试的：综合总分=面试成绩。</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（二）有笔试和面试的：综合总分=笔试成绩×60%+面试成绩×40%。</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对于综合总分相同者，按以下顺序进一步确定名次排列：</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（一）按笔试成绩从高到低排列；</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二）若笔试成绩依然相同，符合国家、福建省或厦门市文件规定优先对象的，优先进入体检环节。若无优先对象，可由考生协商一致的情况下签名同意自行采取简易方式确定最终进入体检环节人选，或由面试组织部门组织他们重新进行面试，取重新面试成绩较高者进入体检环节</w:t>
      </w:r>
      <w:r>
        <w:rPr>
          <w:rFonts w:hint="eastAsia" w:ascii="仿宋_GB2312" w:hAnsi="仿宋_GB2312" w:eastAsia="仿宋_GB2312" w:cs="仿宋_GB2312"/>
          <w:sz w:val="32"/>
          <w:szCs w:val="32"/>
        </w:rPr>
        <w:t>。</w:t>
      </w:r>
    </w:p>
    <w:p>
      <w:pPr>
        <w:snapToGrid w:val="0"/>
        <w:spacing w:line="560" w:lineRule="exact"/>
        <w:ind w:firstLine="640" w:firstLineChars="200"/>
        <w:outlineLvl w:val="0"/>
        <w:rPr>
          <w:rFonts w:ascii="黑体" w:hAnsi="黑体" w:eastAsia="黑体" w:cs="黑体"/>
          <w:sz w:val="32"/>
          <w:szCs w:val="32"/>
        </w:rPr>
      </w:pPr>
      <w:bookmarkStart w:id="71" w:name="_Toc102806556"/>
      <w:r>
        <w:rPr>
          <w:rFonts w:hint="eastAsia" w:ascii="黑体" w:hAnsi="黑体" w:eastAsia="黑体" w:cs="黑体"/>
          <w:sz w:val="32"/>
          <w:szCs w:val="32"/>
        </w:rPr>
        <w:t>十二、体检和考察</w:t>
      </w:r>
      <w:bookmarkEnd w:id="71"/>
    </w:p>
    <w:p>
      <w:pPr>
        <w:snapToGrid w:val="0"/>
        <w:spacing w:line="560" w:lineRule="exact"/>
        <w:ind w:firstLine="643" w:firstLineChars="200"/>
        <w:outlineLvl w:val="1"/>
        <w:rPr>
          <w:rFonts w:ascii="楷体_GB2312" w:hAnsi="楷体_GB2312" w:eastAsia="楷体_GB2312" w:cs="楷体_GB2312"/>
          <w:b/>
          <w:bCs/>
          <w:sz w:val="32"/>
          <w:szCs w:val="32"/>
        </w:rPr>
      </w:pPr>
      <w:bookmarkStart w:id="72" w:name="_Toc102806557"/>
      <w:r>
        <w:rPr>
          <w:rFonts w:hint="eastAsia" w:ascii="楷体_GB2312" w:hAnsi="楷体_GB2312" w:eastAsia="楷体_GB2312" w:cs="楷体_GB2312"/>
          <w:b/>
          <w:bCs/>
          <w:sz w:val="32"/>
          <w:szCs w:val="32"/>
        </w:rPr>
        <w:t>（一）确定体检人选</w:t>
      </w:r>
      <w:bookmarkEnd w:id="72"/>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从笔试、面试成绩和综合总分均合格者中</w:t>
      </w:r>
      <w:r>
        <w:rPr>
          <w:rFonts w:hint="eastAsia" w:ascii="仿宋_GB2312" w:hAnsi="仿宋_GB2312" w:eastAsia="仿宋_GB2312" w:cs="仿宋_GB2312"/>
          <w:sz w:val="32"/>
          <w:szCs w:val="32"/>
        </w:rPr>
        <w:t>，根据综合总分排名顺序，按岗位拟招聘人数1:1的比例从高分至低分确定体检人选。</w:t>
      </w:r>
    </w:p>
    <w:p>
      <w:pPr>
        <w:snapToGrid w:val="0"/>
        <w:spacing w:line="560" w:lineRule="exact"/>
        <w:ind w:firstLine="643" w:firstLineChars="200"/>
        <w:outlineLvl w:val="1"/>
        <w:rPr>
          <w:rFonts w:ascii="楷体_GB2312" w:hAnsi="楷体_GB2312" w:eastAsia="楷体_GB2312" w:cs="楷体_GB2312"/>
          <w:b/>
          <w:bCs/>
          <w:sz w:val="32"/>
          <w:szCs w:val="32"/>
        </w:rPr>
      </w:pPr>
      <w:bookmarkStart w:id="73" w:name="_Toc102806558"/>
      <w:r>
        <w:rPr>
          <w:rFonts w:hint="eastAsia" w:ascii="楷体_GB2312" w:hAnsi="楷体_GB2312" w:eastAsia="楷体_GB2312" w:cs="楷体_GB2312"/>
          <w:b/>
          <w:bCs/>
          <w:sz w:val="32"/>
          <w:szCs w:val="32"/>
        </w:rPr>
        <w:t>（二）组织体检</w:t>
      </w:r>
      <w:bookmarkEnd w:id="73"/>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体检由区人社局统一组织，考察由招聘单位会同主管部门负责组织实施。</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体检人员应根据通知按时参加并配合体检，否则，视为放弃资格。</w:t>
      </w:r>
    </w:p>
    <w:p>
      <w:pPr>
        <w:snapToGrid w:val="0"/>
        <w:spacing w:line="560" w:lineRule="exact"/>
        <w:ind w:firstLine="643" w:firstLineChars="200"/>
        <w:outlineLvl w:val="1"/>
        <w:rPr>
          <w:rFonts w:ascii="楷体_GB2312" w:hAnsi="楷体_GB2312" w:eastAsia="楷体_GB2312" w:cs="楷体_GB2312"/>
          <w:b/>
          <w:bCs/>
          <w:sz w:val="32"/>
          <w:szCs w:val="32"/>
        </w:rPr>
      </w:pPr>
      <w:bookmarkStart w:id="74" w:name="_Toc102806559"/>
      <w:r>
        <w:rPr>
          <w:rFonts w:hint="eastAsia" w:ascii="楷体_GB2312" w:hAnsi="楷体_GB2312" w:eastAsia="楷体_GB2312" w:cs="楷体_GB2312"/>
          <w:b/>
          <w:bCs/>
          <w:sz w:val="32"/>
          <w:szCs w:val="32"/>
        </w:rPr>
        <w:t>（三）体检依据</w:t>
      </w:r>
      <w:bookmarkEnd w:id="74"/>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体检医院由区人社局根据要求指定。具体检测方法由体检医院结合实际确定，体检结论以体检医院出具的体检报告为准。</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从事放射岗位人员还需根据《放射工作人员职业健康监护技术规范》（卫通[2011]2号）完成岗前必检项目的体检。</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体（复）检费用个人自理。凡在体检中弄虚作假或隐瞒真实情况的报考者，不予聘用或取消聘用。</w:t>
      </w:r>
    </w:p>
    <w:p>
      <w:pPr>
        <w:snapToGrid w:val="0"/>
        <w:spacing w:line="560" w:lineRule="exact"/>
        <w:ind w:firstLine="643" w:firstLineChars="200"/>
        <w:outlineLvl w:val="1"/>
        <w:rPr>
          <w:rFonts w:ascii="楷体_GB2312" w:hAnsi="楷体_GB2312" w:eastAsia="楷体_GB2312" w:cs="楷体_GB2312"/>
          <w:b/>
          <w:bCs/>
          <w:sz w:val="32"/>
          <w:szCs w:val="32"/>
        </w:rPr>
      </w:pPr>
      <w:bookmarkStart w:id="75" w:name="_Toc102806560"/>
      <w:r>
        <w:rPr>
          <w:rFonts w:hint="eastAsia" w:ascii="楷体_GB2312" w:hAnsi="楷体_GB2312" w:eastAsia="楷体_GB2312" w:cs="楷体_GB2312"/>
          <w:b/>
          <w:bCs/>
          <w:sz w:val="32"/>
          <w:szCs w:val="32"/>
        </w:rPr>
        <w:t>（四）体检复检</w:t>
      </w:r>
      <w:bookmarkEnd w:id="75"/>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复检参照人力资源社会保障部、卫生部、国家公务员《关于进一步做好公务员考试录用体检工作的通知》(人社部发〔2012〕65号)的有关规定执行，其中：</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1.对心率、视力、听力、血压等项目达不到体检合格标准的，安排</w:t>
      </w:r>
      <w:r>
        <w:rPr>
          <w:rFonts w:hint="eastAsia" w:ascii="仿宋_GB2312" w:eastAsia="仿宋_GB2312"/>
          <w:b/>
          <w:bCs/>
          <w:sz w:val="32"/>
          <w:szCs w:val="32"/>
        </w:rPr>
        <w:t>当日复检</w:t>
      </w:r>
      <w:r>
        <w:rPr>
          <w:rFonts w:hint="eastAsia" w:ascii="仿宋_GB2312" w:eastAsia="仿宋_GB2312"/>
          <w:sz w:val="32"/>
          <w:szCs w:val="32"/>
        </w:rPr>
        <w:t>；对边缘性心脏杂音、病理性心电图、病理性杂音、频发早搏（心电图证实）等项目达不到体检合格标准的，安排</w:t>
      </w:r>
      <w:r>
        <w:rPr>
          <w:rFonts w:hint="eastAsia" w:ascii="仿宋_GB2312" w:eastAsia="仿宋_GB2312"/>
          <w:b/>
          <w:bCs/>
          <w:sz w:val="32"/>
          <w:szCs w:val="32"/>
        </w:rPr>
        <w:t>当场复检</w:t>
      </w:r>
      <w:r>
        <w:rPr>
          <w:rFonts w:hint="eastAsia" w:ascii="仿宋_GB2312" w:eastAsia="仿宋_GB2312"/>
          <w:sz w:val="32"/>
          <w:szCs w:val="32"/>
        </w:rPr>
        <w:t>。</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2.考生</w:t>
      </w:r>
      <w:r>
        <w:rPr>
          <w:rFonts w:hint="eastAsia" w:ascii="仿宋_GB2312" w:eastAsia="仿宋_GB2312"/>
          <w:b/>
          <w:bCs/>
          <w:sz w:val="32"/>
          <w:szCs w:val="32"/>
        </w:rPr>
        <w:t>对非当日或非当场复检的体检项目结果有疑问时</w:t>
      </w:r>
      <w:r>
        <w:rPr>
          <w:rFonts w:hint="eastAsia" w:ascii="仿宋_GB2312" w:eastAsia="仿宋_GB2312"/>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3.组织体检单位对体检结论有疑问的，在接到体检结论通知之日起7日内决定是否进行复检</w:t>
      </w:r>
      <w:r>
        <w:rPr>
          <w:rFonts w:hint="eastAsia" w:ascii="仿宋_GB2312" w:hAnsi="仿宋_GB2312" w:eastAsia="仿宋_GB2312" w:cs="仿宋_GB2312"/>
          <w:sz w:val="32"/>
          <w:szCs w:val="32"/>
        </w:rPr>
        <w:t>。</w:t>
      </w:r>
    </w:p>
    <w:p>
      <w:pPr>
        <w:snapToGrid w:val="0"/>
        <w:spacing w:line="560" w:lineRule="exact"/>
        <w:ind w:firstLine="643" w:firstLineChars="200"/>
        <w:outlineLvl w:val="1"/>
        <w:rPr>
          <w:rFonts w:ascii="楷体_GB2312" w:hAnsi="楷体_GB2312" w:eastAsia="楷体_GB2312" w:cs="楷体_GB2312"/>
          <w:b/>
          <w:bCs/>
          <w:sz w:val="32"/>
          <w:szCs w:val="32"/>
        </w:rPr>
      </w:pPr>
      <w:bookmarkStart w:id="76" w:name="_Toc102806561"/>
      <w:r>
        <w:rPr>
          <w:rFonts w:hint="eastAsia" w:ascii="楷体_GB2312" w:hAnsi="楷体_GB2312" w:eastAsia="楷体_GB2312" w:cs="楷体_GB2312"/>
          <w:b/>
          <w:bCs/>
          <w:sz w:val="32"/>
          <w:szCs w:val="32"/>
        </w:rPr>
        <w:t>（五）可延迟体检的情形</w:t>
      </w:r>
      <w:bookmarkEnd w:id="76"/>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女性报考者因怀孕、哺乳期需申请延期体检的，应提供相应的医学证明并与组织体检单位约定延缓体检的合理期限</w:t>
      </w:r>
      <w:r>
        <w:rPr>
          <w:rFonts w:hint="eastAsia" w:ascii="仿宋_GB2312" w:hAnsi="仿宋_GB2312" w:eastAsia="仿宋_GB2312" w:cs="仿宋_GB2312"/>
          <w:sz w:val="32"/>
          <w:szCs w:val="32"/>
        </w:rPr>
        <w:t>。</w:t>
      </w:r>
    </w:p>
    <w:p>
      <w:pPr>
        <w:snapToGrid w:val="0"/>
        <w:spacing w:line="560" w:lineRule="exact"/>
        <w:ind w:firstLine="643" w:firstLineChars="200"/>
        <w:outlineLvl w:val="1"/>
        <w:rPr>
          <w:rFonts w:ascii="楷体_GB2312" w:hAnsi="楷体_GB2312" w:eastAsia="楷体_GB2312" w:cs="楷体_GB2312"/>
          <w:b/>
          <w:bCs/>
          <w:sz w:val="32"/>
          <w:szCs w:val="32"/>
        </w:rPr>
      </w:pPr>
      <w:bookmarkStart w:id="77" w:name="_Toc102806562"/>
      <w:r>
        <w:rPr>
          <w:rFonts w:hint="eastAsia" w:ascii="楷体_GB2312" w:hAnsi="楷体_GB2312" w:eastAsia="楷体_GB2312" w:cs="楷体_GB2312"/>
          <w:b/>
          <w:bCs/>
          <w:sz w:val="32"/>
          <w:szCs w:val="32"/>
        </w:rPr>
        <w:t>（六）考察</w:t>
      </w:r>
      <w:bookmarkEnd w:id="77"/>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考察工作前，通过中国执行信息公开网（http://zxgk.court.gov.cn/）核实考察对象有无失信被执行的情况。被依法列为失信联合惩戒对象的，不得报考或取消报考（聘用）资格。</w:t>
      </w:r>
    </w:p>
    <w:p>
      <w:pPr>
        <w:snapToGrid w:val="0"/>
        <w:spacing w:line="560" w:lineRule="exact"/>
        <w:ind w:firstLine="640" w:firstLineChars="200"/>
        <w:outlineLvl w:val="0"/>
        <w:rPr>
          <w:rFonts w:ascii="黑体" w:hAnsi="黑体" w:eastAsia="黑体" w:cs="黑体"/>
          <w:sz w:val="32"/>
          <w:szCs w:val="32"/>
        </w:rPr>
      </w:pPr>
      <w:bookmarkStart w:id="78" w:name="_Toc102806563"/>
      <w:r>
        <w:rPr>
          <w:rFonts w:hint="eastAsia" w:ascii="黑体" w:hAnsi="黑体" w:eastAsia="黑体" w:cs="黑体"/>
          <w:sz w:val="32"/>
          <w:szCs w:val="32"/>
        </w:rPr>
        <w:t>十三、公示</w:t>
      </w:r>
      <w:bookmarkEnd w:id="78"/>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根据岗位要求以及考试、体检、考察结果，确定拟聘用人员名单，并在</w:t>
      </w:r>
      <w:r>
        <w:rPr>
          <w:rFonts w:hint="eastAsia" w:ascii="仿宋_GB2312" w:hAnsi="仿宋_GB2312" w:eastAsia="仿宋_GB2312" w:cs="仿宋_GB2312"/>
          <w:color w:val="auto"/>
          <w:sz w:val="32"/>
          <w:szCs w:val="32"/>
          <w:lang w:eastAsia="zh-CN"/>
        </w:rPr>
        <w:t>“网上考务信息通知”（</w:t>
      </w:r>
      <w:r>
        <w:rPr>
          <w:rFonts w:hint="eastAsia" w:ascii="仿宋_GB2312" w:hAnsi="仿宋_GB2312" w:eastAsia="仿宋_GB2312" w:cs="仿宋_GB2312"/>
          <w:color w:val="auto"/>
          <w:sz w:val="32"/>
          <w:szCs w:val="32"/>
          <w:lang w:val="en-US"/>
        </w:rPr>
        <w:t>http://www.xmta.gov.cn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公示7个工作日。公示内容包括招聘单位名称、招聘岗位、拟聘人员基本信息等。</w:t>
      </w:r>
    </w:p>
    <w:p>
      <w:pPr>
        <w:snapToGrid w:val="0"/>
        <w:spacing w:line="560" w:lineRule="exact"/>
        <w:ind w:firstLine="640" w:firstLineChars="200"/>
        <w:outlineLvl w:val="0"/>
        <w:rPr>
          <w:rFonts w:ascii="黑体" w:hAnsi="黑体" w:eastAsia="黑体" w:cs="黑体"/>
          <w:sz w:val="32"/>
          <w:szCs w:val="32"/>
        </w:rPr>
      </w:pPr>
      <w:bookmarkStart w:id="79" w:name="_Toc102806564"/>
      <w:r>
        <w:rPr>
          <w:rFonts w:hint="eastAsia" w:ascii="黑体" w:hAnsi="黑体" w:eastAsia="黑体" w:cs="黑体"/>
          <w:sz w:val="32"/>
          <w:szCs w:val="32"/>
        </w:rPr>
        <w:t>十四、聘用办理</w:t>
      </w:r>
      <w:bookmarkEnd w:id="79"/>
    </w:p>
    <w:p>
      <w:pPr>
        <w:snapToGrid w:val="0"/>
        <w:spacing w:line="560" w:lineRule="exact"/>
        <w:ind w:firstLine="643" w:firstLineChars="200"/>
        <w:outlineLvl w:val="1"/>
        <w:rPr>
          <w:rFonts w:ascii="楷体_GB2312" w:hAnsi="楷体_GB2312" w:eastAsia="楷体_GB2312" w:cs="楷体_GB2312"/>
          <w:b/>
          <w:bCs/>
          <w:sz w:val="32"/>
          <w:szCs w:val="32"/>
        </w:rPr>
      </w:pPr>
      <w:bookmarkStart w:id="80" w:name="_Toc102806565"/>
      <w:bookmarkStart w:id="81" w:name="_Toc3099"/>
      <w:r>
        <w:rPr>
          <w:rFonts w:hint="eastAsia" w:ascii="楷体_GB2312" w:hAnsi="楷体_GB2312" w:eastAsia="楷体_GB2312" w:cs="楷体_GB2312"/>
          <w:b/>
          <w:bCs/>
          <w:sz w:val="32"/>
          <w:szCs w:val="32"/>
        </w:rPr>
        <w:t>（一）聘用手续办理</w:t>
      </w:r>
      <w:bookmarkEnd w:id="80"/>
      <w:bookmarkEnd w:id="81"/>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公示结果无异议，或经招聘单位会同主管部门核实不影响聘用的，</w:t>
      </w:r>
      <w:r>
        <w:rPr>
          <w:rFonts w:hint="eastAsia" w:ascii="仿宋_GB2312" w:eastAsia="仿宋_GB2312"/>
          <w:b/>
          <w:sz w:val="32"/>
          <w:szCs w:val="32"/>
        </w:rPr>
        <w:t>拟聘人员应于公示期满后3个月内提供办理聘用手续所需的材料（含个人人事档案）</w:t>
      </w:r>
      <w:r>
        <w:rPr>
          <w:rFonts w:hint="eastAsia" w:ascii="仿宋_GB2312" w:eastAsia="仿宋_GB2312"/>
          <w:sz w:val="32"/>
          <w:szCs w:val="32"/>
        </w:rPr>
        <w:t>，因情况确实特殊、无法在上述期限内提供完备资料的，与招聘单位及其主管部门协商同意并书面承诺后可适当延长材料提交时限（延长时限原则上不超过2个月），否则视为放弃聘用资格。</w:t>
      </w:r>
    </w:p>
    <w:p>
      <w:pPr>
        <w:snapToGrid w:val="0"/>
        <w:spacing w:line="560" w:lineRule="exact"/>
        <w:ind w:firstLine="643" w:firstLineChars="200"/>
        <w:outlineLvl w:val="1"/>
        <w:rPr>
          <w:rFonts w:ascii="楷体_GB2312" w:hAnsi="楷体_GB2312" w:eastAsia="楷体_GB2312" w:cs="楷体_GB2312"/>
          <w:b/>
          <w:bCs/>
          <w:sz w:val="32"/>
          <w:szCs w:val="32"/>
        </w:rPr>
      </w:pPr>
      <w:bookmarkStart w:id="82" w:name="_Toc102806566"/>
      <w:bookmarkStart w:id="83" w:name="_Toc9234"/>
      <w:r>
        <w:rPr>
          <w:rFonts w:hint="eastAsia" w:ascii="楷体_GB2312" w:hAnsi="楷体_GB2312" w:eastAsia="楷体_GB2312" w:cs="楷体_GB2312"/>
          <w:b/>
          <w:bCs/>
          <w:sz w:val="32"/>
          <w:szCs w:val="32"/>
        </w:rPr>
        <w:t>（二）岗位聘任</w:t>
      </w:r>
      <w:bookmarkEnd w:id="82"/>
      <w:bookmarkEnd w:id="83"/>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pPr>
        <w:snapToGrid w:val="0"/>
        <w:spacing w:line="560" w:lineRule="exact"/>
        <w:ind w:firstLine="640" w:firstLineChars="200"/>
        <w:outlineLvl w:val="0"/>
        <w:rPr>
          <w:rFonts w:ascii="黑体" w:hAnsi="黑体" w:eastAsia="黑体" w:cs="黑体"/>
          <w:sz w:val="32"/>
          <w:szCs w:val="32"/>
        </w:rPr>
      </w:pPr>
      <w:bookmarkStart w:id="84" w:name="_Toc102806567"/>
      <w:r>
        <w:rPr>
          <w:rFonts w:hint="eastAsia" w:ascii="黑体" w:hAnsi="黑体" w:eastAsia="黑体" w:cs="黑体"/>
          <w:sz w:val="32"/>
          <w:szCs w:val="32"/>
        </w:rPr>
        <w:t>十五、其他需说明事项</w:t>
      </w:r>
      <w:bookmarkEnd w:id="84"/>
    </w:p>
    <w:p>
      <w:pPr>
        <w:snapToGrid w:val="0"/>
        <w:spacing w:line="560" w:lineRule="exact"/>
        <w:ind w:firstLine="643" w:firstLineChars="200"/>
        <w:outlineLvl w:val="1"/>
        <w:rPr>
          <w:rFonts w:ascii="楷体_GB2312" w:hAnsi="楷体_GB2312" w:eastAsia="楷体_GB2312" w:cs="楷体_GB2312"/>
          <w:b/>
          <w:bCs/>
          <w:sz w:val="32"/>
          <w:szCs w:val="32"/>
        </w:rPr>
      </w:pPr>
      <w:bookmarkStart w:id="85" w:name="_Toc102806568"/>
      <w:r>
        <w:rPr>
          <w:rFonts w:hint="eastAsia" w:ascii="楷体_GB2312" w:hAnsi="楷体_GB2312" w:eastAsia="楷体_GB2312" w:cs="楷体_GB2312"/>
          <w:b/>
          <w:bCs/>
          <w:sz w:val="32"/>
          <w:szCs w:val="32"/>
        </w:rPr>
        <w:t>（一）职称（专业技术职务任职资格）</w:t>
      </w:r>
      <w:bookmarkEnd w:id="85"/>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岗位资格条件要求的职称是指经社会化评审、全国统一考试或考核确认等方式取得的专业技术职务任职资格，不含通过非公有制企业职称评审方式取得的职称。</w:t>
      </w:r>
    </w:p>
    <w:p>
      <w:pPr>
        <w:ind w:firstLine="640" w:firstLineChars="200"/>
        <w:rPr>
          <w:rFonts w:ascii="仿宋_GB2312" w:hAnsi="宋体" w:eastAsia="仿宋_GB2312"/>
          <w:color w:val="FF0000"/>
          <w:sz w:val="32"/>
          <w:szCs w:val="32"/>
        </w:rPr>
      </w:pPr>
      <w:bookmarkStart w:id="86" w:name="_Toc19212"/>
      <w:bookmarkStart w:id="87" w:name="_Toc22170"/>
      <w:r>
        <w:rPr>
          <w:rFonts w:hint="eastAsia" w:ascii="仿宋_GB2312" w:hAnsi="宋体" w:eastAsia="仿宋_GB2312"/>
          <w:color w:val="FF0000"/>
          <w:sz w:val="32"/>
          <w:szCs w:val="32"/>
        </w:rPr>
        <w:t>按照国家和省部规定自主评聘的卫生技术系列高级职称人员，须经福建省职改部门确认或颁发的卫生高级专业技术职务任职资格，方能作为岗位正常聘任和岗位级别晋升的依据。</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报考者已于报名截止日前通过岗位条件要求（含上述以非普通教育学历报考的考生须取得的资格要求）的相应资格证书考试（或评审等）但未取得证书的，须在资格复核时，提供有效的成绩单及</w:t>
      </w:r>
      <w:r>
        <w:rPr>
          <w:rFonts w:hint="eastAsia" w:ascii="仿宋_GB2312" w:hAnsi="宋体" w:eastAsia="仿宋_GB2312"/>
          <w:color w:val="FF0000"/>
          <w:sz w:val="32"/>
          <w:szCs w:val="32"/>
        </w:rPr>
        <w:t>评审通过文件或考核确认表等有效材料</w:t>
      </w:r>
      <w:r>
        <w:rPr>
          <w:rFonts w:hint="eastAsia" w:ascii="仿宋_GB2312" w:eastAsia="仿宋_GB2312"/>
          <w:sz w:val="32"/>
          <w:szCs w:val="32"/>
        </w:rPr>
        <w:t>。</w:t>
      </w:r>
      <w:r>
        <w:rPr>
          <w:rFonts w:hint="eastAsia" w:ascii="仿宋_GB2312" w:eastAsia="仿宋_GB2312"/>
          <w:color w:val="FF0000"/>
          <w:sz w:val="32"/>
          <w:szCs w:val="32"/>
        </w:rPr>
        <w:t>202</w:t>
      </w:r>
      <w:r>
        <w:rPr>
          <w:rFonts w:hint="eastAsia" w:ascii="仿宋_GB2312" w:eastAsia="仿宋_GB2312"/>
          <w:color w:val="FF0000"/>
          <w:sz w:val="32"/>
          <w:szCs w:val="32"/>
          <w:lang w:val="en-US" w:eastAsia="zh-CN"/>
        </w:rPr>
        <w:t>3</w:t>
      </w:r>
      <w:r>
        <w:rPr>
          <w:rFonts w:hint="eastAsia" w:ascii="仿宋_GB2312" w:eastAsia="仿宋_GB2312"/>
          <w:color w:val="FF0000"/>
          <w:sz w:val="32"/>
          <w:szCs w:val="32"/>
          <w:lang w:eastAsia="zh-CN"/>
        </w:rPr>
        <w:t>届</w:t>
      </w:r>
      <w:r>
        <w:rPr>
          <w:rFonts w:hint="eastAsia" w:ascii="仿宋_GB2312" w:eastAsia="仿宋_GB2312"/>
          <w:color w:val="auto"/>
          <w:sz w:val="32"/>
          <w:szCs w:val="32"/>
        </w:rPr>
        <w:t>毕业的医学专业“四证合一”研究生，在符合报考岗位其他资格条件的前提下，其医师资格证书可于202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年12月31日前随符合岗位报考条件的相应学历（位）证书一并提供。</w:t>
      </w:r>
    </w:p>
    <w:p>
      <w:pPr>
        <w:snapToGrid w:val="0"/>
        <w:spacing w:line="560" w:lineRule="exact"/>
        <w:ind w:firstLine="643" w:firstLineChars="200"/>
        <w:outlineLvl w:val="1"/>
        <w:rPr>
          <w:rFonts w:ascii="楷体_GB2312" w:hAnsi="楷体_GB2312" w:eastAsia="楷体_GB2312" w:cs="楷体_GB2312"/>
          <w:b/>
          <w:bCs/>
          <w:color w:val="auto"/>
          <w:sz w:val="32"/>
          <w:szCs w:val="32"/>
        </w:rPr>
      </w:pPr>
      <w:bookmarkStart w:id="88" w:name="_Toc102806569"/>
      <w:r>
        <w:rPr>
          <w:rFonts w:hint="eastAsia" w:ascii="楷体_GB2312" w:hAnsi="楷体_GB2312" w:eastAsia="楷体_GB2312" w:cs="楷体_GB2312"/>
          <w:b/>
          <w:bCs/>
          <w:color w:val="auto"/>
          <w:sz w:val="32"/>
          <w:szCs w:val="32"/>
        </w:rPr>
        <w:t>（二）规范化培训</w:t>
      </w:r>
      <w:bookmarkEnd w:id="86"/>
      <w:bookmarkEnd w:id="87"/>
      <w:bookmarkEnd w:id="88"/>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岗位条件要求完成住院医师规范化培训的，是指按照《住院医师规范化培训内容和标准（试行）》完成住院医师规范化培训内容并取得合格证书。</w:t>
      </w:r>
    </w:p>
    <w:p>
      <w:pPr>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条件要求完成全科医师规范化培训的，是指按照《卫生部专科医师培训暂行规定》、《卫生部专科医师培训标准（试行）》完成全科医师规范化培训内容并取得合格证书，或取得经过省级卫生行政部门认可的全科医学培训合格证书、社区卫生服务人员岗位培训合格证书或全科医生转岗培训合格证书等可用于注册执业范围为全科医学专业的《医师执业证书》的全科医师培训合格证明。</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报考者应于资格复核时提供岗位条件要求的规范化培训合格证书或证书主管部门出具的成绩单及是否通过考试的结论书面证明。</w:t>
      </w:r>
      <w:r>
        <w:rPr>
          <w:rFonts w:hint="eastAsia" w:ascii="仿宋_GB2312" w:eastAsia="仿宋_GB2312"/>
          <w:color w:val="FF0000"/>
          <w:sz w:val="32"/>
          <w:szCs w:val="32"/>
        </w:rPr>
        <w:t>202</w:t>
      </w:r>
      <w:r>
        <w:rPr>
          <w:rFonts w:hint="eastAsia" w:ascii="仿宋_GB2312" w:eastAsia="仿宋_GB2312"/>
          <w:color w:val="FF0000"/>
          <w:sz w:val="32"/>
          <w:szCs w:val="32"/>
          <w:lang w:val="en-US" w:eastAsia="zh-CN"/>
        </w:rPr>
        <w:t>3</w:t>
      </w:r>
      <w:r>
        <w:rPr>
          <w:rFonts w:hint="eastAsia" w:ascii="仿宋_GB2312" w:eastAsia="仿宋_GB2312"/>
          <w:color w:val="FF0000"/>
          <w:sz w:val="32"/>
          <w:szCs w:val="32"/>
          <w:lang w:eastAsia="zh-CN"/>
        </w:rPr>
        <w:t>届</w:t>
      </w:r>
      <w:r>
        <w:rPr>
          <w:rFonts w:hint="eastAsia" w:ascii="仿宋_GB2312" w:eastAsia="仿宋_GB2312"/>
          <w:color w:val="auto"/>
          <w:sz w:val="32"/>
          <w:szCs w:val="32"/>
        </w:rPr>
        <w:t>毕业的医学专业“四证合一”研究生</w:t>
      </w:r>
      <w:r>
        <w:rPr>
          <w:rFonts w:hint="eastAsia" w:ascii="仿宋_GB2312" w:hAnsi="仿宋_GB2312" w:eastAsia="仿宋_GB2312" w:cs="仿宋_GB2312"/>
          <w:color w:val="auto"/>
          <w:sz w:val="32"/>
          <w:szCs w:val="32"/>
        </w:rPr>
        <w:t>，在符合报考岗位其他资格条件的前提下，其住院医师规范化培训合格证书可于202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年12月31日前</w:t>
      </w:r>
      <w:r>
        <w:rPr>
          <w:rFonts w:hint="eastAsia" w:ascii="仿宋_GB2312" w:hAnsi="仿宋_GB2312" w:eastAsia="仿宋_GB2312" w:cs="仿宋_GB2312"/>
          <w:sz w:val="32"/>
          <w:szCs w:val="32"/>
        </w:rPr>
        <w:t>随符合岗位报考条件的相应学历（位）证书一并提供。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面向社会招收的住院医师如为普通高校</w:t>
      </w:r>
      <w:r>
        <w:rPr>
          <w:rFonts w:hint="eastAsia" w:ascii="仿宋_GB2312" w:hAnsi="仿宋_GB2312" w:eastAsia="仿宋_GB2312" w:cs="仿宋_GB2312"/>
          <w:color w:val="FF0000"/>
          <w:sz w:val="32"/>
          <w:szCs w:val="32"/>
          <w:lang w:val="en-US" w:eastAsia="zh-CN"/>
        </w:rPr>
        <w:t>2023</w:t>
      </w:r>
      <w:r>
        <w:rPr>
          <w:rFonts w:hint="eastAsia" w:ascii="仿宋_GB2312" w:hAnsi="仿宋_GB2312" w:eastAsia="仿宋_GB2312" w:cs="仿宋_GB2312"/>
          <w:color w:val="FF0000"/>
          <w:sz w:val="32"/>
          <w:szCs w:val="32"/>
        </w:rPr>
        <w:t>届</w:t>
      </w:r>
      <w:r>
        <w:rPr>
          <w:rFonts w:hint="eastAsia" w:ascii="仿宋_GB2312" w:hAnsi="仿宋_GB2312" w:eastAsia="仿宋_GB2312" w:cs="仿宋_GB2312"/>
          <w:sz w:val="32"/>
          <w:szCs w:val="32"/>
        </w:rPr>
        <w:t>毕业生的，其住培合格当年在医疗卫生机构就业，按当年</w:t>
      </w:r>
      <w:r>
        <w:rPr>
          <w:rFonts w:hint="eastAsia" w:ascii="仿宋_GB2312" w:hAnsi="仿宋_GB2312" w:eastAsia="仿宋_GB2312" w:cs="仿宋_GB2312"/>
          <w:color w:val="FF0000"/>
          <w:sz w:val="32"/>
          <w:szCs w:val="32"/>
          <w:lang w:val="en-US" w:eastAsia="zh-CN"/>
        </w:rPr>
        <w:t>2023</w:t>
      </w:r>
      <w:r>
        <w:rPr>
          <w:rFonts w:hint="eastAsia" w:ascii="仿宋_GB2312" w:hAnsi="仿宋_GB2312" w:eastAsia="仿宋_GB2312" w:cs="仿宋_GB2312"/>
          <w:color w:val="FF0000"/>
          <w:sz w:val="32"/>
          <w:szCs w:val="32"/>
        </w:rPr>
        <w:t>届</w:t>
      </w:r>
      <w:r>
        <w:rPr>
          <w:rFonts w:hint="eastAsia" w:ascii="仿宋_GB2312" w:hAnsi="仿宋_GB2312" w:eastAsia="仿宋_GB2312" w:cs="仿宋_GB2312"/>
          <w:sz w:val="32"/>
          <w:szCs w:val="32"/>
        </w:rPr>
        <w:t>毕业生同等对待；经住培合格的本科学历临床医师，按临床医学、口腔医学、中医专业学位硕士研究生同等对待，其中住培合格证书中的培训专业原则上应当与招聘岗位的专业或类别要求相一致。</w:t>
      </w:r>
    </w:p>
    <w:p>
      <w:pPr>
        <w:snapToGrid w:val="0"/>
        <w:spacing w:line="560" w:lineRule="exact"/>
        <w:ind w:firstLine="643" w:firstLineChars="200"/>
        <w:outlineLvl w:val="1"/>
        <w:rPr>
          <w:rFonts w:ascii="楷体_GB2312" w:hAnsi="楷体_GB2312" w:eastAsia="楷体_GB2312" w:cs="楷体_GB2312"/>
          <w:b/>
          <w:bCs/>
          <w:sz w:val="32"/>
          <w:szCs w:val="32"/>
        </w:rPr>
      </w:pPr>
      <w:bookmarkStart w:id="89" w:name="_Toc102806570"/>
      <w:r>
        <w:rPr>
          <w:rFonts w:hint="eastAsia" w:ascii="楷体_GB2312" w:hAnsi="楷体_GB2312" w:eastAsia="楷体_GB2312" w:cs="楷体_GB2312"/>
          <w:b/>
          <w:bCs/>
          <w:sz w:val="32"/>
          <w:szCs w:val="32"/>
        </w:rPr>
        <w:t>（三）生源</w:t>
      </w:r>
      <w:bookmarkEnd w:id="89"/>
    </w:p>
    <w:p>
      <w:pPr>
        <w:numPr>
          <w:ilvl w:val="0"/>
          <w:numId w:val="0"/>
        </w:num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生源地为参加全国统一的普通高等学校招生考试时的户籍所在地。</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1.入学前户籍在厦门市但学籍不在厦门市的普通教育全日制毕业生；</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2.入学前户籍和学籍虽不在厦门市，但本次公开招聘报名截止日前父母或配偶有一方户籍在厦门市的普通教育全日制</w:t>
      </w:r>
      <w:r>
        <w:rPr>
          <w:rFonts w:hint="eastAsia" w:ascii="仿宋_GB2312" w:eastAsia="仿宋_GB2312"/>
          <w:color w:val="FF0000"/>
          <w:sz w:val="32"/>
          <w:szCs w:val="32"/>
        </w:rPr>
        <w:t>202</w:t>
      </w:r>
      <w:r>
        <w:rPr>
          <w:rFonts w:hint="eastAsia" w:ascii="仿宋_GB2312" w:eastAsia="仿宋_GB2312"/>
          <w:color w:val="FF0000"/>
          <w:sz w:val="32"/>
          <w:szCs w:val="32"/>
          <w:lang w:val="en-US" w:eastAsia="zh-CN"/>
        </w:rPr>
        <w:t>3</w:t>
      </w:r>
      <w:r>
        <w:rPr>
          <w:rFonts w:hint="eastAsia" w:ascii="仿宋_GB2312" w:eastAsia="仿宋_GB2312"/>
          <w:color w:val="FF0000"/>
          <w:sz w:val="32"/>
          <w:szCs w:val="32"/>
        </w:rPr>
        <w:t>届</w:t>
      </w:r>
      <w:r>
        <w:rPr>
          <w:rFonts w:hint="eastAsia" w:ascii="仿宋_GB2312" w:eastAsia="仿宋_GB2312"/>
          <w:sz w:val="32"/>
          <w:szCs w:val="32"/>
        </w:rPr>
        <w:t>毕业生；</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3.根据厦府办〔2011〕229号文规定来我市就读普通高中且将户籍迁入我市的外来学生，普通高中毕业后从我市考入普通高等院校的全日制普通教育毕业生</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福建生源类推界定。</w:t>
      </w:r>
    </w:p>
    <w:p>
      <w:pPr>
        <w:snapToGrid w:val="0"/>
        <w:spacing w:line="560" w:lineRule="exact"/>
        <w:ind w:firstLine="643" w:firstLineChars="200"/>
        <w:outlineLvl w:val="1"/>
        <w:rPr>
          <w:rFonts w:ascii="楷体_GB2312" w:hAnsi="楷体_GB2312" w:eastAsia="楷体_GB2312" w:cs="楷体_GB2312"/>
          <w:b/>
          <w:bCs/>
          <w:sz w:val="32"/>
          <w:szCs w:val="32"/>
        </w:rPr>
      </w:pPr>
      <w:bookmarkStart w:id="90" w:name="_Toc102806571"/>
      <w:r>
        <w:rPr>
          <w:rFonts w:hint="eastAsia" w:ascii="楷体_GB2312" w:hAnsi="楷体_GB2312" w:eastAsia="楷体_GB2312" w:cs="楷体_GB2312"/>
          <w:b/>
          <w:bCs/>
          <w:sz w:val="32"/>
          <w:szCs w:val="32"/>
        </w:rPr>
        <w:t>（四）港澳台人员</w:t>
      </w:r>
      <w:bookmarkEnd w:id="90"/>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港澳台人员（不得持有外国籍）的招聘，按照国家、省和我市有关规定办理。</w:t>
      </w:r>
    </w:p>
    <w:p>
      <w:pPr>
        <w:snapToGrid w:val="0"/>
        <w:spacing w:line="560" w:lineRule="exact"/>
        <w:ind w:firstLine="643" w:firstLineChars="200"/>
        <w:outlineLvl w:val="1"/>
        <w:rPr>
          <w:rFonts w:ascii="楷体_GB2312" w:hAnsi="楷体_GB2312" w:eastAsia="楷体_GB2312" w:cs="楷体_GB2312"/>
          <w:b/>
          <w:bCs/>
          <w:sz w:val="32"/>
          <w:szCs w:val="32"/>
        </w:rPr>
      </w:pPr>
      <w:bookmarkStart w:id="91" w:name="_Toc102806572"/>
      <w:r>
        <w:rPr>
          <w:rFonts w:hint="eastAsia" w:ascii="楷体_GB2312" w:hAnsi="楷体_GB2312" w:eastAsia="楷体_GB2312" w:cs="楷体_GB2312"/>
          <w:b/>
          <w:bCs/>
          <w:sz w:val="32"/>
          <w:szCs w:val="32"/>
        </w:rPr>
        <w:t>（五）技工院校毕业生</w:t>
      </w:r>
      <w:bookmarkEnd w:id="91"/>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r>
        <w:rPr>
          <w:rFonts w:hint="eastAsia" w:ascii="仿宋_GB2312" w:hAnsi="仿宋_GB2312" w:eastAsia="仿宋_GB2312" w:cs="仿宋_GB2312"/>
          <w:sz w:val="32"/>
          <w:szCs w:val="32"/>
        </w:rPr>
        <w:t>。</w:t>
      </w:r>
    </w:p>
    <w:p>
      <w:pPr>
        <w:snapToGrid w:val="0"/>
        <w:spacing w:line="560" w:lineRule="exact"/>
        <w:ind w:firstLine="640" w:firstLineChars="200"/>
        <w:outlineLvl w:val="0"/>
        <w:rPr>
          <w:rFonts w:ascii="黑体" w:hAnsi="黑体" w:eastAsia="黑体" w:cs="黑体"/>
          <w:sz w:val="32"/>
          <w:szCs w:val="32"/>
        </w:rPr>
      </w:pPr>
      <w:bookmarkStart w:id="92" w:name="_Toc102806573"/>
      <w:r>
        <w:rPr>
          <w:rFonts w:hint="eastAsia" w:ascii="黑体" w:hAnsi="黑体" w:eastAsia="黑体" w:cs="黑体"/>
          <w:sz w:val="32"/>
          <w:szCs w:val="32"/>
        </w:rPr>
        <w:t>十六、网上报名操作须知</w:t>
      </w:r>
      <w:bookmarkEnd w:id="92"/>
    </w:p>
    <w:p>
      <w:pPr>
        <w:snapToGrid w:val="0"/>
        <w:spacing w:line="560" w:lineRule="exact"/>
        <w:ind w:firstLine="643" w:firstLineChars="200"/>
        <w:outlineLvl w:val="1"/>
        <w:rPr>
          <w:rFonts w:ascii="楷体_GB2312" w:hAnsi="楷体_GB2312" w:eastAsia="楷体_GB2312" w:cs="楷体_GB2312"/>
          <w:b/>
          <w:bCs/>
          <w:sz w:val="32"/>
          <w:szCs w:val="32"/>
        </w:rPr>
      </w:pPr>
      <w:bookmarkStart w:id="93" w:name="_Toc102806574"/>
      <w:r>
        <w:rPr>
          <w:rFonts w:hint="eastAsia" w:ascii="楷体_GB2312" w:hAnsi="楷体_GB2312" w:eastAsia="楷体_GB2312" w:cs="楷体_GB2312"/>
          <w:b/>
          <w:bCs/>
          <w:sz w:val="32"/>
          <w:szCs w:val="32"/>
        </w:rPr>
        <w:t>（一）个人密码重置</w:t>
      </w:r>
      <w:bookmarkEnd w:id="93"/>
      <w:r>
        <w:rPr>
          <w:rFonts w:hint="eastAsia" w:ascii="楷体_GB2312" w:hAnsi="楷体_GB2312" w:eastAsia="楷体_GB2312" w:cs="楷体_GB2312"/>
          <w:b/>
          <w:bCs/>
          <w:sz w:val="32"/>
          <w:szCs w:val="32"/>
        </w:rPr>
        <w:tab/>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重置密码有两种方式：</w:t>
      </w:r>
    </w:p>
    <w:p>
      <w:pPr>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第一种：</w:t>
      </w:r>
      <w:r>
        <w:rPr>
          <w:rFonts w:hint="eastAsia" w:ascii="仿宋_GB2312" w:eastAsia="仿宋_GB2312"/>
          <w:sz w:val="32"/>
          <w:szCs w:val="32"/>
        </w:rPr>
        <w:t>短信找回。在“报名系统”界面中输入注册时所填写的姓名、证件类型、证件编号、手机号等信息。</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若注册时登记手机号已暂停使用，可以在系统界面勾选“旧号码已不可用”并输入新的手机号码找回密码。</w:t>
      </w:r>
    </w:p>
    <w:p>
      <w:pPr>
        <w:snapToGrid w:val="0"/>
        <w:spacing w:line="560" w:lineRule="exact"/>
        <w:ind w:firstLine="643" w:firstLineChars="200"/>
        <w:rPr>
          <w:rFonts w:ascii="仿宋_GB2312" w:hAnsi="仿宋_GB2312" w:eastAsia="仿宋_GB2312" w:cs="仿宋_GB2312"/>
          <w:sz w:val="32"/>
          <w:szCs w:val="32"/>
        </w:rPr>
      </w:pPr>
      <w:r>
        <w:rPr>
          <w:rFonts w:hint="eastAsia" w:ascii="仿宋_GB2312" w:eastAsia="仿宋_GB2312"/>
          <w:b/>
          <w:bCs/>
          <w:sz w:val="32"/>
          <w:szCs w:val="32"/>
        </w:rPr>
        <w:t>第二种：</w:t>
      </w:r>
      <w:r>
        <w:rPr>
          <w:rFonts w:hint="eastAsia" w:ascii="仿宋_GB2312" w:eastAsia="仿宋_GB2312"/>
          <w:sz w:val="32"/>
          <w:szCs w:val="32"/>
        </w:rPr>
        <w:t>人工找回。须将手持身份证原件的肖像照、身份证正反面照片发送至</w:t>
      </w:r>
      <w:r>
        <w:rPr>
          <w:rFonts w:hint="eastAsia" w:ascii="仿宋_GB2312" w:eastAsia="仿宋_GB2312"/>
          <w:color w:val="auto"/>
          <w:sz w:val="32"/>
          <w:szCs w:val="32"/>
        </w:rPr>
        <w:t>xmmmcz@163.com</w:t>
      </w:r>
      <w:r>
        <w:rPr>
          <w:rFonts w:hint="eastAsia" w:ascii="仿宋_GB2312" w:eastAsia="仿宋_GB2312"/>
          <w:sz w:val="32"/>
          <w:szCs w:val="32"/>
        </w:rPr>
        <w:t>，待工作人员依序逐一审核并重置，请耐心等待</w:t>
      </w:r>
      <w:r>
        <w:rPr>
          <w:rFonts w:hint="eastAsia" w:ascii="仿宋_GB2312" w:hAnsi="仿宋_GB2312" w:eastAsia="仿宋_GB2312" w:cs="仿宋_GB2312"/>
          <w:sz w:val="32"/>
          <w:szCs w:val="32"/>
        </w:rPr>
        <w:t>。</w:t>
      </w:r>
    </w:p>
    <w:p>
      <w:pPr>
        <w:snapToGrid w:val="0"/>
        <w:spacing w:line="560" w:lineRule="exact"/>
        <w:ind w:firstLine="643" w:firstLineChars="200"/>
        <w:outlineLvl w:val="1"/>
        <w:rPr>
          <w:rFonts w:ascii="楷体_GB2312" w:hAnsi="楷体_GB2312" w:eastAsia="楷体_GB2312" w:cs="楷体_GB2312"/>
          <w:b/>
          <w:bCs/>
          <w:sz w:val="32"/>
          <w:szCs w:val="32"/>
        </w:rPr>
      </w:pPr>
      <w:bookmarkStart w:id="94" w:name="_Toc102806575"/>
      <w:r>
        <w:rPr>
          <w:rFonts w:hint="eastAsia" w:ascii="楷体_GB2312" w:hAnsi="楷体_GB2312" w:eastAsia="楷体_GB2312" w:cs="楷体_GB2312"/>
          <w:b/>
          <w:bCs/>
          <w:sz w:val="32"/>
          <w:szCs w:val="32"/>
        </w:rPr>
        <w:t>（二）报名信息填写</w:t>
      </w:r>
      <w:bookmarkEnd w:id="94"/>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请考生认真对照岗位资格条件等要求，务必准确、完整填写截至报名日的相关个人信息。</w:t>
      </w:r>
    </w:p>
    <w:p>
      <w:pPr>
        <w:snapToGrid w:val="0"/>
        <w:spacing w:line="560" w:lineRule="exact"/>
        <w:ind w:firstLine="643" w:firstLineChars="200"/>
        <w:rPr>
          <w:rFonts w:ascii="仿宋_GB2312" w:hAnsi="仿宋_GB2312" w:eastAsia="仿宋_GB2312" w:cs="仿宋_GB2312"/>
          <w:sz w:val="32"/>
          <w:szCs w:val="32"/>
        </w:rPr>
      </w:pPr>
      <w:bookmarkStart w:id="95" w:name="_Toc16055"/>
      <w:bookmarkStart w:id="96" w:name="_Toc10868"/>
      <w:bookmarkStart w:id="97" w:name="_Toc3262"/>
      <w:r>
        <w:rPr>
          <w:rFonts w:hint="eastAsia" w:ascii="仿宋_GB2312" w:hAnsi="仿宋_GB2312" w:eastAsia="仿宋_GB2312" w:cs="仿宋_GB2312"/>
          <w:b/>
          <w:bCs/>
          <w:sz w:val="32"/>
          <w:szCs w:val="32"/>
        </w:rPr>
        <w:t>1.首次在报名系统注册的考生</w:t>
      </w:r>
      <w:bookmarkEnd w:id="95"/>
      <w:bookmarkEnd w:id="96"/>
      <w:bookmarkEnd w:id="97"/>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考生应登录“报名系统”，根据截至报名日实际情况逐一填写个人相关信息，包括“我的基本信息”和“教育工作背景”等。</w:t>
      </w:r>
    </w:p>
    <w:p>
      <w:pPr>
        <w:snapToGrid w:val="0"/>
        <w:spacing w:line="560" w:lineRule="exact"/>
        <w:ind w:firstLine="643" w:firstLineChars="200"/>
        <w:rPr>
          <w:rFonts w:ascii="仿宋_GB2312" w:hAnsi="仿宋_GB2312" w:eastAsia="仿宋_GB2312" w:cs="仿宋_GB2312"/>
          <w:b/>
          <w:bCs/>
          <w:sz w:val="32"/>
          <w:szCs w:val="32"/>
        </w:rPr>
      </w:pPr>
      <w:bookmarkStart w:id="98" w:name="_Toc13506"/>
      <w:bookmarkStart w:id="99" w:name="_Toc16611"/>
      <w:bookmarkStart w:id="100" w:name="_Toc5835"/>
      <w:r>
        <w:rPr>
          <w:rFonts w:hint="eastAsia" w:ascii="仿宋_GB2312" w:hAnsi="仿宋_GB2312" w:eastAsia="仿宋_GB2312" w:cs="仿宋_GB2312"/>
          <w:b/>
          <w:bCs/>
          <w:sz w:val="32"/>
          <w:szCs w:val="32"/>
        </w:rPr>
        <w:t>2.曾在报名系统注册的考生</w:t>
      </w:r>
      <w:bookmarkEnd w:id="98"/>
      <w:bookmarkEnd w:id="99"/>
      <w:bookmarkEnd w:id="100"/>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务必再次重新修改完善个人相关信息。报名提交审核后修改填写的个人信息，系统将无法更新，导致报考单位按之前信息审核认定不合格。</w:t>
      </w:r>
    </w:p>
    <w:p>
      <w:pPr>
        <w:snapToGrid w:val="0"/>
        <w:spacing w:line="560" w:lineRule="exact"/>
        <w:ind w:firstLine="643" w:firstLineChars="200"/>
        <w:outlineLvl w:val="1"/>
        <w:rPr>
          <w:rFonts w:ascii="楷体_GB2312" w:hAnsi="楷体_GB2312" w:eastAsia="楷体_GB2312" w:cs="楷体_GB2312"/>
          <w:b/>
          <w:bCs/>
          <w:sz w:val="32"/>
          <w:szCs w:val="32"/>
        </w:rPr>
      </w:pPr>
      <w:bookmarkStart w:id="101" w:name="_Toc102806576"/>
      <w:r>
        <w:rPr>
          <w:rFonts w:hint="eastAsia" w:ascii="楷体_GB2312" w:hAnsi="楷体_GB2312" w:eastAsia="楷体_GB2312" w:cs="楷体_GB2312"/>
          <w:b/>
          <w:bCs/>
          <w:sz w:val="32"/>
          <w:szCs w:val="32"/>
        </w:rPr>
        <w:t>（三）报名次数限定</w:t>
      </w:r>
      <w:bookmarkEnd w:id="101"/>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同一个岗位考生最多提交审核3次。在招聘单位未审核前，考生可以在“已报名情况”中自行取消报名，自行取消报名次数不限。通过审核后不得取消或更改报名岗位。</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pPr>
        <w:snapToGrid w:val="0"/>
        <w:spacing w:line="560" w:lineRule="exact"/>
        <w:ind w:firstLine="643" w:firstLineChars="200"/>
        <w:outlineLvl w:val="1"/>
        <w:rPr>
          <w:rFonts w:ascii="楷体_GB2312" w:hAnsi="楷体_GB2312" w:eastAsia="楷体_GB2312" w:cs="楷体_GB2312"/>
          <w:b/>
          <w:bCs/>
          <w:sz w:val="32"/>
          <w:szCs w:val="32"/>
        </w:rPr>
      </w:pPr>
      <w:bookmarkStart w:id="102" w:name="_Toc102806577"/>
      <w:r>
        <w:rPr>
          <w:rFonts w:hint="eastAsia" w:ascii="楷体_GB2312" w:hAnsi="楷体_GB2312" w:eastAsia="楷体_GB2312" w:cs="楷体_GB2312"/>
          <w:b/>
          <w:bCs/>
          <w:sz w:val="32"/>
          <w:szCs w:val="32"/>
        </w:rPr>
        <w:t>（四）申诉注意事项</w:t>
      </w:r>
      <w:bookmarkEnd w:id="102"/>
    </w:p>
    <w:p>
      <w:pPr>
        <w:snapToGri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申诉功能只能使用1次，请慎用！！！</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报考者在同一岗位被审核不通过达3次，经与招聘单位沟通核实，对岗位资格审核结果仍有异议的，可在规定期限内及时通过“报名系统”的申诉通道提出申诉。</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申诉理由应尽量简洁明了，无需大段粘贴政策文件或专业目录原文。</w:t>
      </w:r>
    </w:p>
    <w:sectPr>
      <w:pgSz w:w="11906" w:h="16838"/>
      <w:pgMar w:top="1418" w:right="1474" w:bottom="1418" w:left="1588"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6223B"/>
    <w:multiLevelType w:val="singleLevel"/>
    <w:tmpl w:val="4946223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hOTgxNmEwZWUxM2RkYjlmYzFlYjM3YWU5ZDI1MzMifQ=="/>
  </w:docVars>
  <w:rsids>
    <w:rsidRoot w:val="00CA3A16"/>
    <w:rsid w:val="00024CCB"/>
    <w:rsid w:val="000327EA"/>
    <w:rsid w:val="00034B8E"/>
    <w:rsid w:val="0004009B"/>
    <w:rsid w:val="00040619"/>
    <w:rsid w:val="00061345"/>
    <w:rsid w:val="000630F5"/>
    <w:rsid w:val="00065C9C"/>
    <w:rsid w:val="00083710"/>
    <w:rsid w:val="0009347B"/>
    <w:rsid w:val="000A75FC"/>
    <w:rsid w:val="000B0FC0"/>
    <w:rsid w:val="000B1E6E"/>
    <w:rsid w:val="000C0BBE"/>
    <w:rsid w:val="000C1A79"/>
    <w:rsid w:val="000D7CFF"/>
    <w:rsid w:val="00101C63"/>
    <w:rsid w:val="001141D7"/>
    <w:rsid w:val="0011755F"/>
    <w:rsid w:val="00137BC5"/>
    <w:rsid w:val="0014786A"/>
    <w:rsid w:val="0017732C"/>
    <w:rsid w:val="001A37E8"/>
    <w:rsid w:val="001B0419"/>
    <w:rsid w:val="001B41A7"/>
    <w:rsid w:val="001C3B14"/>
    <w:rsid w:val="001D2812"/>
    <w:rsid w:val="001D2B43"/>
    <w:rsid w:val="001D3F6C"/>
    <w:rsid w:val="001E744A"/>
    <w:rsid w:val="001F633A"/>
    <w:rsid w:val="00213A8B"/>
    <w:rsid w:val="00236AB8"/>
    <w:rsid w:val="002472E9"/>
    <w:rsid w:val="0025439C"/>
    <w:rsid w:val="00260B60"/>
    <w:rsid w:val="00273D3A"/>
    <w:rsid w:val="00283FFF"/>
    <w:rsid w:val="002870B8"/>
    <w:rsid w:val="0029226C"/>
    <w:rsid w:val="002A4F64"/>
    <w:rsid w:val="002A6E56"/>
    <w:rsid w:val="002B3195"/>
    <w:rsid w:val="002E7744"/>
    <w:rsid w:val="002F6529"/>
    <w:rsid w:val="0031053B"/>
    <w:rsid w:val="00323E6F"/>
    <w:rsid w:val="00327D0C"/>
    <w:rsid w:val="0033190A"/>
    <w:rsid w:val="003413FD"/>
    <w:rsid w:val="00352943"/>
    <w:rsid w:val="003758FD"/>
    <w:rsid w:val="0038584A"/>
    <w:rsid w:val="00390791"/>
    <w:rsid w:val="00393C30"/>
    <w:rsid w:val="0039564C"/>
    <w:rsid w:val="003A7D13"/>
    <w:rsid w:val="003B30DD"/>
    <w:rsid w:val="003B3661"/>
    <w:rsid w:val="003B73BD"/>
    <w:rsid w:val="003D39D6"/>
    <w:rsid w:val="003E2A5A"/>
    <w:rsid w:val="003F123B"/>
    <w:rsid w:val="003F1339"/>
    <w:rsid w:val="003F6248"/>
    <w:rsid w:val="00413DE3"/>
    <w:rsid w:val="004319DA"/>
    <w:rsid w:val="00473054"/>
    <w:rsid w:val="004869E0"/>
    <w:rsid w:val="00490726"/>
    <w:rsid w:val="004A42A3"/>
    <w:rsid w:val="004B1561"/>
    <w:rsid w:val="004B2DED"/>
    <w:rsid w:val="004B6278"/>
    <w:rsid w:val="004C2B60"/>
    <w:rsid w:val="004E3ED6"/>
    <w:rsid w:val="00503D56"/>
    <w:rsid w:val="00504187"/>
    <w:rsid w:val="005250F7"/>
    <w:rsid w:val="00526D5C"/>
    <w:rsid w:val="005345D7"/>
    <w:rsid w:val="00541E5E"/>
    <w:rsid w:val="00544387"/>
    <w:rsid w:val="005519B3"/>
    <w:rsid w:val="00551B2B"/>
    <w:rsid w:val="00555C24"/>
    <w:rsid w:val="00565159"/>
    <w:rsid w:val="00567350"/>
    <w:rsid w:val="00574AF0"/>
    <w:rsid w:val="005846E1"/>
    <w:rsid w:val="005917A9"/>
    <w:rsid w:val="005B69E2"/>
    <w:rsid w:val="005F6CA6"/>
    <w:rsid w:val="0060284B"/>
    <w:rsid w:val="00607711"/>
    <w:rsid w:val="006103D3"/>
    <w:rsid w:val="0061384E"/>
    <w:rsid w:val="006158CB"/>
    <w:rsid w:val="006213DD"/>
    <w:rsid w:val="00621ACA"/>
    <w:rsid w:val="006223EA"/>
    <w:rsid w:val="006229D9"/>
    <w:rsid w:val="00631E9A"/>
    <w:rsid w:val="00645369"/>
    <w:rsid w:val="006542B0"/>
    <w:rsid w:val="0065611A"/>
    <w:rsid w:val="00665DA5"/>
    <w:rsid w:val="00681410"/>
    <w:rsid w:val="006819D7"/>
    <w:rsid w:val="006833C8"/>
    <w:rsid w:val="0069064B"/>
    <w:rsid w:val="006A3257"/>
    <w:rsid w:val="006A506D"/>
    <w:rsid w:val="006A5852"/>
    <w:rsid w:val="006D2943"/>
    <w:rsid w:val="006D5211"/>
    <w:rsid w:val="006E3BAA"/>
    <w:rsid w:val="00702F8A"/>
    <w:rsid w:val="007220D0"/>
    <w:rsid w:val="00723CB1"/>
    <w:rsid w:val="00734055"/>
    <w:rsid w:val="007400FA"/>
    <w:rsid w:val="00756EC5"/>
    <w:rsid w:val="007705E8"/>
    <w:rsid w:val="00777E4A"/>
    <w:rsid w:val="00790DAD"/>
    <w:rsid w:val="00791B25"/>
    <w:rsid w:val="00791D16"/>
    <w:rsid w:val="007967EA"/>
    <w:rsid w:val="007C1B59"/>
    <w:rsid w:val="007C4212"/>
    <w:rsid w:val="007D0B19"/>
    <w:rsid w:val="007D437E"/>
    <w:rsid w:val="007E02C8"/>
    <w:rsid w:val="007E41A3"/>
    <w:rsid w:val="007F533F"/>
    <w:rsid w:val="0080368F"/>
    <w:rsid w:val="008132CA"/>
    <w:rsid w:val="00832857"/>
    <w:rsid w:val="0083620D"/>
    <w:rsid w:val="008610BF"/>
    <w:rsid w:val="00872411"/>
    <w:rsid w:val="00877227"/>
    <w:rsid w:val="00881AA0"/>
    <w:rsid w:val="0088480B"/>
    <w:rsid w:val="00894C77"/>
    <w:rsid w:val="00895091"/>
    <w:rsid w:val="008A5364"/>
    <w:rsid w:val="008B603D"/>
    <w:rsid w:val="008B79ED"/>
    <w:rsid w:val="008D1852"/>
    <w:rsid w:val="00905C34"/>
    <w:rsid w:val="00913B6C"/>
    <w:rsid w:val="00940152"/>
    <w:rsid w:val="00950F30"/>
    <w:rsid w:val="00954E45"/>
    <w:rsid w:val="00962CC8"/>
    <w:rsid w:val="00972D58"/>
    <w:rsid w:val="009A0CB4"/>
    <w:rsid w:val="009A3578"/>
    <w:rsid w:val="009D0DDC"/>
    <w:rsid w:val="009D6A0F"/>
    <w:rsid w:val="009D6F29"/>
    <w:rsid w:val="009D7416"/>
    <w:rsid w:val="009E4603"/>
    <w:rsid w:val="009E4D11"/>
    <w:rsid w:val="00A01963"/>
    <w:rsid w:val="00A06918"/>
    <w:rsid w:val="00A1489E"/>
    <w:rsid w:val="00A217A8"/>
    <w:rsid w:val="00A268DE"/>
    <w:rsid w:val="00A31196"/>
    <w:rsid w:val="00A57868"/>
    <w:rsid w:val="00A65DD2"/>
    <w:rsid w:val="00A72375"/>
    <w:rsid w:val="00A74F77"/>
    <w:rsid w:val="00A805DA"/>
    <w:rsid w:val="00A84DFE"/>
    <w:rsid w:val="00AA508C"/>
    <w:rsid w:val="00AA6BF1"/>
    <w:rsid w:val="00AB091A"/>
    <w:rsid w:val="00AB1E03"/>
    <w:rsid w:val="00AB6A05"/>
    <w:rsid w:val="00B215F6"/>
    <w:rsid w:val="00B24F71"/>
    <w:rsid w:val="00B26EC3"/>
    <w:rsid w:val="00B30772"/>
    <w:rsid w:val="00B32262"/>
    <w:rsid w:val="00B42C35"/>
    <w:rsid w:val="00B46E15"/>
    <w:rsid w:val="00B84020"/>
    <w:rsid w:val="00B91E17"/>
    <w:rsid w:val="00BA29B7"/>
    <w:rsid w:val="00BA31A7"/>
    <w:rsid w:val="00BB2B71"/>
    <w:rsid w:val="00BF0C5A"/>
    <w:rsid w:val="00BF58CD"/>
    <w:rsid w:val="00C009D9"/>
    <w:rsid w:val="00C10BBC"/>
    <w:rsid w:val="00C11140"/>
    <w:rsid w:val="00C14388"/>
    <w:rsid w:val="00C17235"/>
    <w:rsid w:val="00C2186B"/>
    <w:rsid w:val="00C2304E"/>
    <w:rsid w:val="00C37E04"/>
    <w:rsid w:val="00C5389C"/>
    <w:rsid w:val="00C66186"/>
    <w:rsid w:val="00C71E92"/>
    <w:rsid w:val="00C8052F"/>
    <w:rsid w:val="00C8405A"/>
    <w:rsid w:val="00C845B5"/>
    <w:rsid w:val="00C94477"/>
    <w:rsid w:val="00CA3A16"/>
    <w:rsid w:val="00CA562B"/>
    <w:rsid w:val="00CA6F69"/>
    <w:rsid w:val="00CE73F4"/>
    <w:rsid w:val="00D03D42"/>
    <w:rsid w:val="00D07CFE"/>
    <w:rsid w:val="00D17020"/>
    <w:rsid w:val="00D34958"/>
    <w:rsid w:val="00D37E5D"/>
    <w:rsid w:val="00D402E6"/>
    <w:rsid w:val="00D40311"/>
    <w:rsid w:val="00D40F5F"/>
    <w:rsid w:val="00D43CF0"/>
    <w:rsid w:val="00D47F20"/>
    <w:rsid w:val="00D52D90"/>
    <w:rsid w:val="00D626DE"/>
    <w:rsid w:val="00D86DD5"/>
    <w:rsid w:val="00DA3C97"/>
    <w:rsid w:val="00DA5FC0"/>
    <w:rsid w:val="00DA7FB5"/>
    <w:rsid w:val="00DB0B27"/>
    <w:rsid w:val="00DB223A"/>
    <w:rsid w:val="00DD58E0"/>
    <w:rsid w:val="00DF4534"/>
    <w:rsid w:val="00E008D4"/>
    <w:rsid w:val="00E024DE"/>
    <w:rsid w:val="00E20B63"/>
    <w:rsid w:val="00E263FF"/>
    <w:rsid w:val="00E43EED"/>
    <w:rsid w:val="00E45BCB"/>
    <w:rsid w:val="00E501FF"/>
    <w:rsid w:val="00E61ED6"/>
    <w:rsid w:val="00E64BFF"/>
    <w:rsid w:val="00E653DC"/>
    <w:rsid w:val="00E85A5E"/>
    <w:rsid w:val="00EA31FA"/>
    <w:rsid w:val="00EA35A1"/>
    <w:rsid w:val="00EB4277"/>
    <w:rsid w:val="00EC0FDE"/>
    <w:rsid w:val="00ED7167"/>
    <w:rsid w:val="00ED761D"/>
    <w:rsid w:val="00EE4163"/>
    <w:rsid w:val="00EE7384"/>
    <w:rsid w:val="00F0419D"/>
    <w:rsid w:val="00F07FBE"/>
    <w:rsid w:val="00F12DD7"/>
    <w:rsid w:val="00F135AC"/>
    <w:rsid w:val="00F2449F"/>
    <w:rsid w:val="00F24AC9"/>
    <w:rsid w:val="00F34B3F"/>
    <w:rsid w:val="00F44D41"/>
    <w:rsid w:val="00F5073D"/>
    <w:rsid w:val="00F5550C"/>
    <w:rsid w:val="00F60F54"/>
    <w:rsid w:val="00F65A11"/>
    <w:rsid w:val="00F8296D"/>
    <w:rsid w:val="00F84DA1"/>
    <w:rsid w:val="00F95CF6"/>
    <w:rsid w:val="00FC084C"/>
    <w:rsid w:val="00FC74FA"/>
    <w:rsid w:val="00FC7AD4"/>
    <w:rsid w:val="00FD6AD6"/>
    <w:rsid w:val="00FF064A"/>
    <w:rsid w:val="012E4057"/>
    <w:rsid w:val="01706B3D"/>
    <w:rsid w:val="029C19EF"/>
    <w:rsid w:val="02AF79A2"/>
    <w:rsid w:val="039D63E2"/>
    <w:rsid w:val="0431644B"/>
    <w:rsid w:val="04882EFC"/>
    <w:rsid w:val="057714CA"/>
    <w:rsid w:val="05AC43BD"/>
    <w:rsid w:val="05D97382"/>
    <w:rsid w:val="060D0DBE"/>
    <w:rsid w:val="063C65E5"/>
    <w:rsid w:val="06B534C8"/>
    <w:rsid w:val="06D75243"/>
    <w:rsid w:val="085459A4"/>
    <w:rsid w:val="089D2016"/>
    <w:rsid w:val="09283A63"/>
    <w:rsid w:val="09D1113A"/>
    <w:rsid w:val="0A2926EC"/>
    <w:rsid w:val="0ABE0466"/>
    <w:rsid w:val="0BBC16DC"/>
    <w:rsid w:val="0BCA2B3D"/>
    <w:rsid w:val="0C42075F"/>
    <w:rsid w:val="0C62192F"/>
    <w:rsid w:val="0C9537CF"/>
    <w:rsid w:val="0CB229A4"/>
    <w:rsid w:val="0CFA7F8B"/>
    <w:rsid w:val="0DB61DFE"/>
    <w:rsid w:val="0EC36EF9"/>
    <w:rsid w:val="0EEC0086"/>
    <w:rsid w:val="0EFC1000"/>
    <w:rsid w:val="0FB1548E"/>
    <w:rsid w:val="0FE91000"/>
    <w:rsid w:val="100064EA"/>
    <w:rsid w:val="11D50F5D"/>
    <w:rsid w:val="127C59E8"/>
    <w:rsid w:val="12B17B3E"/>
    <w:rsid w:val="135A5B2F"/>
    <w:rsid w:val="137A7CA3"/>
    <w:rsid w:val="14CE1044"/>
    <w:rsid w:val="1506149C"/>
    <w:rsid w:val="15502A51"/>
    <w:rsid w:val="15714F96"/>
    <w:rsid w:val="15D95F9E"/>
    <w:rsid w:val="16B12E3A"/>
    <w:rsid w:val="16D0666A"/>
    <w:rsid w:val="17000058"/>
    <w:rsid w:val="174116A4"/>
    <w:rsid w:val="18775F23"/>
    <w:rsid w:val="1883196F"/>
    <w:rsid w:val="18DC4FBF"/>
    <w:rsid w:val="19F2321C"/>
    <w:rsid w:val="1A6D1194"/>
    <w:rsid w:val="1B4D3A90"/>
    <w:rsid w:val="1C277ADD"/>
    <w:rsid w:val="1E381C14"/>
    <w:rsid w:val="1EAE54C8"/>
    <w:rsid w:val="1EC13E26"/>
    <w:rsid w:val="1FAD1DE7"/>
    <w:rsid w:val="206474C3"/>
    <w:rsid w:val="20AB3B48"/>
    <w:rsid w:val="20D11DC7"/>
    <w:rsid w:val="2107136B"/>
    <w:rsid w:val="212E6965"/>
    <w:rsid w:val="21CD6AB5"/>
    <w:rsid w:val="21F41D88"/>
    <w:rsid w:val="224F3728"/>
    <w:rsid w:val="23103EF2"/>
    <w:rsid w:val="23B83892"/>
    <w:rsid w:val="23D655E4"/>
    <w:rsid w:val="23DA0315"/>
    <w:rsid w:val="242714D3"/>
    <w:rsid w:val="248C709C"/>
    <w:rsid w:val="253668B6"/>
    <w:rsid w:val="25454C78"/>
    <w:rsid w:val="25637318"/>
    <w:rsid w:val="25B64A56"/>
    <w:rsid w:val="262877F4"/>
    <w:rsid w:val="27434329"/>
    <w:rsid w:val="27613E34"/>
    <w:rsid w:val="27DD732A"/>
    <w:rsid w:val="28654F9C"/>
    <w:rsid w:val="28CF4161"/>
    <w:rsid w:val="29A27F83"/>
    <w:rsid w:val="29DC3048"/>
    <w:rsid w:val="2A46176F"/>
    <w:rsid w:val="2A681CA7"/>
    <w:rsid w:val="2AB93EDB"/>
    <w:rsid w:val="2B157704"/>
    <w:rsid w:val="2B5A73B3"/>
    <w:rsid w:val="2C0C1B4F"/>
    <w:rsid w:val="2C4A3345"/>
    <w:rsid w:val="2D0A1C91"/>
    <w:rsid w:val="2D146264"/>
    <w:rsid w:val="2D1620D0"/>
    <w:rsid w:val="2D2B386A"/>
    <w:rsid w:val="2D3D3232"/>
    <w:rsid w:val="2D8F5E9A"/>
    <w:rsid w:val="2E10141D"/>
    <w:rsid w:val="2E160F66"/>
    <w:rsid w:val="2EB1083F"/>
    <w:rsid w:val="2EBF1CF7"/>
    <w:rsid w:val="2ED55ABF"/>
    <w:rsid w:val="2EF03772"/>
    <w:rsid w:val="2F4D39DB"/>
    <w:rsid w:val="2F5A04DD"/>
    <w:rsid w:val="2FCF1868"/>
    <w:rsid w:val="2FF31FA0"/>
    <w:rsid w:val="2FFB7FF5"/>
    <w:rsid w:val="30F8458A"/>
    <w:rsid w:val="30FA1876"/>
    <w:rsid w:val="3112736D"/>
    <w:rsid w:val="329E37E0"/>
    <w:rsid w:val="330D7063"/>
    <w:rsid w:val="331D1B45"/>
    <w:rsid w:val="34054802"/>
    <w:rsid w:val="34171B12"/>
    <w:rsid w:val="34407745"/>
    <w:rsid w:val="34FD21E1"/>
    <w:rsid w:val="36254EF0"/>
    <w:rsid w:val="36433543"/>
    <w:rsid w:val="36541C68"/>
    <w:rsid w:val="38303C6E"/>
    <w:rsid w:val="387E7A86"/>
    <w:rsid w:val="38A17E31"/>
    <w:rsid w:val="38FD340C"/>
    <w:rsid w:val="390E6A3F"/>
    <w:rsid w:val="39DE51F3"/>
    <w:rsid w:val="3A4A0A80"/>
    <w:rsid w:val="3CAA7142"/>
    <w:rsid w:val="3D237E8B"/>
    <w:rsid w:val="3D3C6670"/>
    <w:rsid w:val="3D5926B2"/>
    <w:rsid w:val="3E742100"/>
    <w:rsid w:val="40280F9C"/>
    <w:rsid w:val="415129D8"/>
    <w:rsid w:val="41FD4244"/>
    <w:rsid w:val="431A4FDF"/>
    <w:rsid w:val="433600E8"/>
    <w:rsid w:val="44DF1FE4"/>
    <w:rsid w:val="45C66CF9"/>
    <w:rsid w:val="45D103AB"/>
    <w:rsid w:val="45D321F0"/>
    <w:rsid w:val="46DF3096"/>
    <w:rsid w:val="47240519"/>
    <w:rsid w:val="4795328A"/>
    <w:rsid w:val="48613330"/>
    <w:rsid w:val="48945CA1"/>
    <w:rsid w:val="48C75D1F"/>
    <w:rsid w:val="4C9B4511"/>
    <w:rsid w:val="4D452DD4"/>
    <w:rsid w:val="4D667BAF"/>
    <w:rsid w:val="4DF94E97"/>
    <w:rsid w:val="4E073F0E"/>
    <w:rsid w:val="4E7B6BE7"/>
    <w:rsid w:val="4EAD3A54"/>
    <w:rsid w:val="4EBD7FB6"/>
    <w:rsid w:val="4EBE1275"/>
    <w:rsid w:val="4EC918D2"/>
    <w:rsid w:val="4EE73456"/>
    <w:rsid w:val="4EFE0085"/>
    <w:rsid w:val="4FEF114B"/>
    <w:rsid w:val="50224539"/>
    <w:rsid w:val="50247421"/>
    <w:rsid w:val="50B679B6"/>
    <w:rsid w:val="50C56250"/>
    <w:rsid w:val="51C74C19"/>
    <w:rsid w:val="52FB3729"/>
    <w:rsid w:val="53564D9D"/>
    <w:rsid w:val="540313D5"/>
    <w:rsid w:val="546159B3"/>
    <w:rsid w:val="54EC7875"/>
    <w:rsid w:val="56175EF9"/>
    <w:rsid w:val="56BE477A"/>
    <w:rsid w:val="576F2D86"/>
    <w:rsid w:val="578D1583"/>
    <w:rsid w:val="579E6CD9"/>
    <w:rsid w:val="586D648B"/>
    <w:rsid w:val="588130FE"/>
    <w:rsid w:val="58957AF6"/>
    <w:rsid w:val="595208AE"/>
    <w:rsid w:val="597E5402"/>
    <w:rsid w:val="5A4B7E73"/>
    <w:rsid w:val="5A551433"/>
    <w:rsid w:val="5A6E3F82"/>
    <w:rsid w:val="5A9340A0"/>
    <w:rsid w:val="5AAA10A0"/>
    <w:rsid w:val="5B8940A1"/>
    <w:rsid w:val="5BF24A76"/>
    <w:rsid w:val="5C033BC0"/>
    <w:rsid w:val="5C5B4408"/>
    <w:rsid w:val="5C620362"/>
    <w:rsid w:val="5C976E58"/>
    <w:rsid w:val="5DFF4EA3"/>
    <w:rsid w:val="5E1C0D12"/>
    <w:rsid w:val="5EAB5FC1"/>
    <w:rsid w:val="5F3A704F"/>
    <w:rsid w:val="602A3FA6"/>
    <w:rsid w:val="62E81473"/>
    <w:rsid w:val="632A4FD2"/>
    <w:rsid w:val="633A3546"/>
    <w:rsid w:val="63FD2BB4"/>
    <w:rsid w:val="642C7E79"/>
    <w:rsid w:val="64901386"/>
    <w:rsid w:val="6529276A"/>
    <w:rsid w:val="65561D37"/>
    <w:rsid w:val="658A349C"/>
    <w:rsid w:val="662218A6"/>
    <w:rsid w:val="66486604"/>
    <w:rsid w:val="66686E0E"/>
    <w:rsid w:val="67587B68"/>
    <w:rsid w:val="683D067A"/>
    <w:rsid w:val="684E2CED"/>
    <w:rsid w:val="688F48E3"/>
    <w:rsid w:val="68EC1790"/>
    <w:rsid w:val="699B2168"/>
    <w:rsid w:val="69E11422"/>
    <w:rsid w:val="6A1F5B15"/>
    <w:rsid w:val="6ACA2314"/>
    <w:rsid w:val="6BB73BC1"/>
    <w:rsid w:val="6BE172C8"/>
    <w:rsid w:val="6CB75464"/>
    <w:rsid w:val="6D9912B9"/>
    <w:rsid w:val="6E7C5CB3"/>
    <w:rsid w:val="6F122394"/>
    <w:rsid w:val="6FEE47F4"/>
    <w:rsid w:val="70A854E5"/>
    <w:rsid w:val="70EA56E6"/>
    <w:rsid w:val="70EE53CD"/>
    <w:rsid w:val="72080B36"/>
    <w:rsid w:val="736B2384"/>
    <w:rsid w:val="743C5AC7"/>
    <w:rsid w:val="74614AD8"/>
    <w:rsid w:val="746F7336"/>
    <w:rsid w:val="747852FC"/>
    <w:rsid w:val="75594731"/>
    <w:rsid w:val="75CD167C"/>
    <w:rsid w:val="76F4145D"/>
    <w:rsid w:val="76F70E5D"/>
    <w:rsid w:val="77362272"/>
    <w:rsid w:val="777506C5"/>
    <w:rsid w:val="77DE2C87"/>
    <w:rsid w:val="77EC41DA"/>
    <w:rsid w:val="785B6B77"/>
    <w:rsid w:val="78674336"/>
    <w:rsid w:val="78E77648"/>
    <w:rsid w:val="796D3657"/>
    <w:rsid w:val="79761646"/>
    <w:rsid w:val="7A595755"/>
    <w:rsid w:val="7AEA5CB2"/>
    <w:rsid w:val="7B090008"/>
    <w:rsid w:val="7BF511F2"/>
    <w:rsid w:val="7C4A1585"/>
    <w:rsid w:val="7C837DDC"/>
    <w:rsid w:val="7CD35B3D"/>
    <w:rsid w:val="7DA302C5"/>
    <w:rsid w:val="7DD8399D"/>
    <w:rsid w:val="7EC51733"/>
    <w:rsid w:val="7F46651B"/>
    <w:rsid w:val="7F526B1C"/>
    <w:rsid w:val="7F5925CC"/>
    <w:rsid w:val="7FE650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locked/>
    <w:uiPriority w:val="99"/>
    <w:pPr>
      <w:keepNext/>
      <w:keepLines/>
      <w:spacing w:line="576" w:lineRule="auto"/>
      <w:outlineLvl w:val="0"/>
    </w:pPr>
    <w:rPr>
      <w:b/>
      <w:kern w:val="44"/>
      <w:sz w:val="44"/>
    </w:rPr>
  </w:style>
  <w:style w:type="paragraph" w:styleId="3">
    <w:name w:val="heading 2"/>
    <w:basedOn w:val="1"/>
    <w:next w:val="1"/>
    <w:link w:val="30"/>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33"/>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23"/>
    <w:semiHidden/>
    <w:qFormat/>
    <w:uiPriority w:val="99"/>
    <w:pPr>
      <w:jc w:val="left"/>
    </w:pPr>
  </w:style>
  <w:style w:type="paragraph" w:styleId="7">
    <w:name w:val="toc 3"/>
    <w:basedOn w:val="1"/>
    <w:next w:val="1"/>
    <w:qFormat/>
    <w:locked/>
    <w:uiPriority w:val="39"/>
    <w:pPr>
      <w:ind w:left="840" w:leftChars="400"/>
    </w:pPr>
  </w:style>
  <w:style w:type="paragraph" w:styleId="8">
    <w:name w:val="Balloon Text"/>
    <w:basedOn w:val="1"/>
    <w:link w:val="24"/>
    <w:semiHidden/>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1"/>
    <w:next w:val="1"/>
    <w:link w:val="32"/>
    <w:qFormat/>
    <w:locked/>
    <w:uiPriority w:val="0"/>
    <w:pPr>
      <w:spacing w:before="240" w:after="60" w:line="312" w:lineRule="auto"/>
      <w:jc w:val="center"/>
      <w:outlineLvl w:val="1"/>
    </w:pPr>
    <w:rPr>
      <w:rFonts w:asciiTheme="majorHAnsi" w:hAnsiTheme="majorHAnsi" w:cstheme="majorBidi"/>
      <w:b/>
      <w:bCs/>
      <w:kern w:val="28"/>
      <w:sz w:val="32"/>
      <w:szCs w:val="32"/>
    </w:rPr>
  </w:style>
  <w:style w:type="paragraph" w:styleId="13">
    <w:name w:val="toc 2"/>
    <w:basedOn w:val="1"/>
    <w:next w:val="1"/>
    <w:qFormat/>
    <w:uiPriority w:val="39"/>
    <w:pPr>
      <w:ind w:left="420" w:leftChars="200"/>
    </w:pPr>
  </w:style>
  <w:style w:type="paragraph" w:styleId="14">
    <w:name w:val="Title"/>
    <w:basedOn w:val="1"/>
    <w:next w:val="1"/>
    <w:link w:val="34"/>
    <w:qFormat/>
    <w:locked/>
    <w:uiPriority w:val="0"/>
    <w:pPr>
      <w:spacing w:before="240" w:after="60"/>
      <w:jc w:val="center"/>
      <w:outlineLvl w:val="0"/>
    </w:pPr>
    <w:rPr>
      <w:rFonts w:asciiTheme="majorHAnsi" w:hAnsiTheme="majorHAnsi" w:cstheme="majorBidi"/>
      <w:b/>
      <w:bCs/>
      <w:sz w:val="32"/>
      <w:szCs w:val="32"/>
    </w:rPr>
  </w:style>
  <w:style w:type="character" w:styleId="16">
    <w:name w:val="Strong"/>
    <w:basedOn w:val="15"/>
    <w:qFormat/>
    <w:locked/>
    <w:uiPriority w:val="0"/>
    <w:rPr>
      <w:b/>
      <w:bCs/>
    </w:rPr>
  </w:style>
  <w:style w:type="character" w:styleId="17">
    <w:name w:val="FollowedHyperlink"/>
    <w:basedOn w:val="15"/>
    <w:qFormat/>
    <w:uiPriority w:val="99"/>
    <w:rPr>
      <w:rFonts w:cs="Times New Roman"/>
      <w:color w:val="800080"/>
      <w:u w:val="single"/>
    </w:rPr>
  </w:style>
  <w:style w:type="character" w:styleId="18">
    <w:name w:val="Emphasis"/>
    <w:basedOn w:val="15"/>
    <w:qFormat/>
    <w:locked/>
    <w:uiPriority w:val="0"/>
    <w:rPr>
      <w:i/>
      <w:iCs/>
    </w:rPr>
  </w:style>
  <w:style w:type="character" w:styleId="19">
    <w:name w:val="Hyperlink"/>
    <w:basedOn w:val="15"/>
    <w:qFormat/>
    <w:uiPriority w:val="99"/>
    <w:rPr>
      <w:rFonts w:cs="Times New Roman"/>
      <w:color w:val="0000FF"/>
      <w:u w:val="single"/>
    </w:rPr>
  </w:style>
  <w:style w:type="character" w:styleId="20">
    <w:name w:val="annotation reference"/>
    <w:basedOn w:val="15"/>
    <w:semiHidden/>
    <w:qFormat/>
    <w:uiPriority w:val="99"/>
    <w:rPr>
      <w:rFonts w:cs="Times New Roman"/>
      <w:sz w:val="21"/>
      <w:szCs w:val="21"/>
    </w:rPr>
  </w:style>
  <w:style w:type="character" w:customStyle="1" w:styleId="22">
    <w:name w:val="标题 1 Char"/>
    <w:basedOn w:val="15"/>
    <w:link w:val="2"/>
    <w:qFormat/>
    <w:locked/>
    <w:uiPriority w:val="99"/>
    <w:rPr>
      <w:rFonts w:ascii="Calibri" w:hAnsi="Calibri" w:eastAsia="宋体" w:cs="Times New Roman"/>
      <w:b/>
      <w:kern w:val="44"/>
      <w:sz w:val="22"/>
      <w:szCs w:val="22"/>
      <w:lang w:val="en-US" w:eastAsia="zh-CN" w:bidi="ar-SA"/>
    </w:rPr>
  </w:style>
  <w:style w:type="character" w:customStyle="1" w:styleId="23">
    <w:name w:val="批注文字 Char"/>
    <w:basedOn w:val="15"/>
    <w:link w:val="6"/>
    <w:semiHidden/>
    <w:qFormat/>
    <w:locked/>
    <w:uiPriority w:val="99"/>
    <w:rPr>
      <w:rFonts w:cs="Times New Roman"/>
    </w:rPr>
  </w:style>
  <w:style w:type="character" w:customStyle="1" w:styleId="24">
    <w:name w:val="批注框文本 Char"/>
    <w:basedOn w:val="15"/>
    <w:link w:val="8"/>
    <w:semiHidden/>
    <w:qFormat/>
    <w:locked/>
    <w:uiPriority w:val="99"/>
    <w:rPr>
      <w:rFonts w:cs="Times New Roman"/>
      <w:sz w:val="2"/>
    </w:rPr>
  </w:style>
  <w:style w:type="character" w:customStyle="1" w:styleId="25">
    <w:name w:val="页脚 Char"/>
    <w:basedOn w:val="15"/>
    <w:link w:val="9"/>
    <w:qFormat/>
    <w:locked/>
    <w:uiPriority w:val="99"/>
    <w:rPr>
      <w:rFonts w:cs="Times New Roman"/>
      <w:sz w:val="18"/>
      <w:szCs w:val="18"/>
    </w:rPr>
  </w:style>
  <w:style w:type="character" w:customStyle="1" w:styleId="26">
    <w:name w:val="页眉 Char"/>
    <w:basedOn w:val="15"/>
    <w:link w:val="10"/>
    <w:semiHidden/>
    <w:qFormat/>
    <w:locked/>
    <w:uiPriority w:val="99"/>
    <w:rPr>
      <w:rFonts w:cs="Times New Roman"/>
      <w:sz w:val="18"/>
      <w:szCs w:val="18"/>
    </w:rPr>
  </w:style>
  <w:style w:type="paragraph" w:customStyle="1" w:styleId="27">
    <w:name w:val="WPSOffice手动目录 1"/>
    <w:qFormat/>
    <w:uiPriority w:val="99"/>
    <w:rPr>
      <w:rFonts w:ascii="Times New Roman" w:hAnsi="Times New Roman" w:eastAsia="宋体" w:cs="Times New Roman"/>
      <w:lang w:val="en-US" w:eastAsia="zh-CN" w:bidi="ar-SA"/>
    </w:rPr>
  </w:style>
  <w:style w:type="paragraph" w:customStyle="1" w:styleId="28">
    <w:name w:val="WPSOffice手动目录 2"/>
    <w:qFormat/>
    <w:uiPriority w:val="99"/>
    <w:pPr>
      <w:ind w:left="200" w:leftChars="200"/>
    </w:pPr>
    <w:rPr>
      <w:rFonts w:ascii="Times New Roman" w:hAnsi="Times New Roman" w:eastAsia="宋体" w:cs="Times New Roman"/>
      <w:lang w:val="en-US" w:eastAsia="zh-CN" w:bidi="ar-SA"/>
    </w:rPr>
  </w:style>
  <w:style w:type="paragraph" w:styleId="29">
    <w:name w:val="List Paragraph"/>
    <w:basedOn w:val="1"/>
    <w:qFormat/>
    <w:uiPriority w:val="99"/>
    <w:pPr>
      <w:ind w:firstLine="420" w:firstLineChars="200"/>
    </w:pPr>
  </w:style>
  <w:style w:type="character" w:customStyle="1" w:styleId="30">
    <w:name w:val="标题 2 Char"/>
    <w:basedOn w:val="15"/>
    <w:link w:val="3"/>
    <w:qFormat/>
    <w:uiPriority w:val="0"/>
    <w:rPr>
      <w:rFonts w:asciiTheme="majorHAnsi" w:hAnsiTheme="majorHAnsi" w:eastAsiaTheme="majorEastAsia" w:cstheme="majorBidi"/>
      <w:b/>
      <w:bCs/>
      <w:kern w:val="2"/>
      <w:sz w:val="32"/>
      <w:szCs w:val="32"/>
    </w:rPr>
  </w:style>
  <w:style w:type="character" w:customStyle="1" w:styleId="31">
    <w:name w:val="标题 3 Char"/>
    <w:basedOn w:val="15"/>
    <w:link w:val="4"/>
    <w:qFormat/>
    <w:uiPriority w:val="0"/>
    <w:rPr>
      <w:rFonts w:ascii="Calibri" w:hAnsi="Calibri" w:eastAsia="宋体"/>
      <w:b/>
      <w:bCs/>
      <w:kern w:val="2"/>
      <w:sz w:val="32"/>
      <w:szCs w:val="32"/>
    </w:rPr>
  </w:style>
  <w:style w:type="character" w:customStyle="1" w:styleId="32">
    <w:name w:val="副标题 Char"/>
    <w:basedOn w:val="15"/>
    <w:link w:val="12"/>
    <w:qFormat/>
    <w:uiPriority w:val="0"/>
    <w:rPr>
      <w:rFonts w:eastAsia="宋体" w:asciiTheme="majorHAnsi" w:hAnsiTheme="majorHAnsi" w:cstheme="majorBidi"/>
      <w:b/>
      <w:bCs/>
      <w:kern w:val="28"/>
      <w:sz w:val="32"/>
      <w:szCs w:val="32"/>
    </w:rPr>
  </w:style>
  <w:style w:type="character" w:customStyle="1" w:styleId="33">
    <w:name w:val="标题 4 Char"/>
    <w:basedOn w:val="15"/>
    <w:link w:val="5"/>
    <w:qFormat/>
    <w:uiPriority w:val="0"/>
    <w:rPr>
      <w:rFonts w:asciiTheme="majorHAnsi" w:hAnsiTheme="majorHAnsi" w:eastAsiaTheme="majorEastAsia" w:cstheme="majorBidi"/>
      <w:b/>
      <w:bCs/>
      <w:kern w:val="2"/>
      <w:sz w:val="28"/>
      <w:szCs w:val="28"/>
    </w:rPr>
  </w:style>
  <w:style w:type="character" w:customStyle="1" w:styleId="34">
    <w:name w:val="标题 Char"/>
    <w:basedOn w:val="15"/>
    <w:link w:val="14"/>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3809C8-FAEE-45B8-8BED-63593B071C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10180</Words>
  <Characters>10472</Characters>
  <Lines>98</Lines>
  <Paragraphs>27</Paragraphs>
  <TotalTime>30</TotalTime>
  <ScaleCrop>false</ScaleCrop>
  <LinksUpToDate>false</LinksUpToDate>
  <CharactersWithSpaces>10532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2022-05-07T01:05:00Z</dcterms:created>
  <dc:creator>dell</dc:creator>
  <cp:lastModifiedBy>Administrator</cp:lastModifiedBy>
  <cp:lastPrinted>2022-05-05T08:05:00Z</cp:lastPrinted>
  <dcterms:modified xsi:type="dcterms:W3CDTF">2023-08-31T02:51:46Z</dcterms:modified>
  <dc:title>附件1：厦门市同安区所属卫生事业单位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BBB33F58C3C24EACA45BE9106E0C57BD</vt:lpwstr>
  </property>
</Properties>
</file>