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四川省作家协会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直属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事业单位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岗位和条件要求一览表</w:t>
      </w:r>
    </w:p>
    <w:p>
      <w:pPr>
        <w:spacing w:line="26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shd w:val="pct10" w:color="auto" w:fill="FFFFFF"/>
        </w:rPr>
      </w:pPr>
    </w:p>
    <w:tbl>
      <w:tblPr>
        <w:tblStyle w:val="3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90"/>
        <w:gridCol w:w="803"/>
        <w:gridCol w:w="765"/>
        <w:gridCol w:w="765"/>
        <w:gridCol w:w="1530"/>
        <w:gridCol w:w="1470"/>
        <w:gridCol w:w="2351"/>
        <w:gridCol w:w="964"/>
        <w:gridCol w:w="780"/>
        <w:gridCol w:w="945"/>
        <w:gridCol w:w="87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招聘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岗位编码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63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笔试开考比例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公共科目笔试名称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专业笔试名称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2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网络文学中心</w:t>
            </w:r>
          </w:p>
        </w:tc>
        <w:tc>
          <w:tcPr>
            <w:tcW w:w="69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网站编辑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  <w:t>06501001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年1月1日及以后出生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研究生及以上学历并取得相应学位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中国现当代文学专业、新闻学专业、传播学专业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、网络与新媒体专业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3:1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所有岗位均采用专业化面试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网络文学研究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  <w:t>06501002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年1月1日及以后出生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研究生及以上学历并取得相应学位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文艺学专业、中国现当代文学专业、比较文学与世界文学专业、文艺与传媒专业。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3:1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会计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17"/>
                <w:kern w:val="2"/>
                <w:sz w:val="21"/>
                <w:szCs w:val="21"/>
                <w:highlight w:val="none"/>
                <w:lang w:val="en-US" w:eastAsia="zh-CN" w:bidi="ar-SA"/>
              </w:rPr>
              <w:t>06501003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1987年1月1日及以后出生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本科及以上学历并取得相应学位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会计专业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、会计学专业、财务管理专业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会计专业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、会计学专业、企业管理专业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会计师（中级）或高级会计师（高级）职称资格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3:1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5E9372C"/>
    <w:rsid w:val="45E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2023-09-22T06:31:00Z</dcterms:created>
  <dc:creator>Primadonna</dc:creator>
  <cp:lastModifiedBy>Primadonna</cp:lastModifiedBy>
  <dcterms:modified xsi:type="dcterms:W3CDTF">2023-09-22T06:32:39Z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58AEAF7CF9544A9E9D8487E14FDC5221_11</vt:lpwstr>
  </property>
</Properties>
</file>