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5"/>
        </w:tabs>
        <w:spacing w:line="520" w:lineRule="exact"/>
        <w:rPr>
          <w:rFonts w:hint="default" w:ascii="Times New Roman" w:hAnsi="Times New Roman" w:cs="Times New Roman"/>
          <w:b/>
          <w:bCs/>
          <w:color w:val="auto"/>
          <w:szCs w:val="32"/>
        </w:rPr>
      </w:pPr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</w:rPr>
        <w:t>四川省</w:t>
      </w:r>
      <w:r>
        <w:rPr>
          <w:rFonts w:hint="eastAsia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  <w:t>发展和改革委员会</w:t>
      </w: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  <w:t>直属</w:t>
      </w:r>
      <w:r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</w:rPr>
        <w:t>事业单位2023年下半年公开招聘工作人员岗位和条件要求一览表</w:t>
      </w:r>
      <w:bookmarkEnd w:id="0"/>
    </w:p>
    <w:p>
      <w:pPr>
        <w:spacing w:line="240" w:lineRule="exact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  <w:shd w:val="pct10" w:color="auto" w:fill="FFFFFF"/>
        </w:rPr>
      </w:pPr>
    </w:p>
    <w:tbl>
      <w:tblPr>
        <w:tblStyle w:val="3"/>
        <w:tblW w:w="13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7"/>
        <w:gridCol w:w="1025"/>
        <w:gridCol w:w="1114"/>
        <w:gridCol w:w="608"/>
        <w:gridCol w:w="1165"/>
        <w:gridCol w:w="1364"/>
        <w:gridCol w:w="1661"/>
        <w:gridCol w:w="1061"/>
        <w:gridCol w:w="707"/>
        <w:gridCol w:w="745"/>
        <w:gridCol w:w="705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编码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5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开考比例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公共科目笔试名称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专业笔试名称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或学位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eastAsia="zh-CN"/>
              </w:rPr>
              <w:t>四川省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eastAsia="zh-CN"/>
              </w:rPr>
              <w:t>创新驱动发展中心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eastAsia="zh-CN"/>
              </w:rPr>
              <w:t>专技岗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eastAsia="zh-CN"/>
              </w:rPr>
              <w:t>技术经纪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04501001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年1月1日及以后出生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0"/>
              </w:rPr>
              <w:t>国民教育</w:t>
            </w:r>
            <w:r>
              <w:rPr>
                <w:rFonts w:eastAsia="仿宋_GB2312"/>
                <w:color w:val="auto"/>
                <w:sz w:val="20"/>
              </w:rPr>
              <w:t>研究生及以上学历并取得硕士及以上学位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经济学（门类）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管理学（门类）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法学（门类）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工学（门类）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政治面貌为中共党员（含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预备党员）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eastAsia="仿宋_GB2312"/>
                <w:color w:val="auto"/>
                <w:sz w:val="20"/>
              </w:rPr>
              <w:t>3:1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</w:rPr>
            </w:pPr>
            <w:r>
              <w:rPr>
                <w:rFonts w:eastAsia="仿宋_GB2312"/>
                <w:color w:val="auto"/>
                <w:sz w:val="20"/>
              </w:rPr>
              <w:t>综合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eastAsia="仿宋_GB2312"/>
                <w:color w:val="auto"/>
                <w:sz w:val="20"/>
              </w:rPr>
              <w:t>知识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该岗位因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经常出差，不定时加班，工作强度较大，较适宜男性报考。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楷体_GB2312" w:cs="Times New Roman"/>
          <w:color w:val="auto"/>
          <w:sz w:val="24"/>
          <w:szCs w:val="24"/>
        </w:rPr>
      </w:pPr>
    </w:p>
    <w:p>
      <w:pPr>
        <w:jc w:val="both"/>
        <w:rPr>
          <w:rFonts w:hint="default" w:ascii="Times New Roman" w:hAnsi="Times New Roman" w:eastAsia="楷体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1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本表各岗位相关的其他条件及要求请见本公告正文；</w:t>
      </w:r>
    </w:p>
    <w:p>
      <w:pPr>
        <w:numPr>
          <w:ilvl w:val="0"/>
          <w:numId w:val="0"/>
        </w:numPr>
        <w:ind w:leftChars="228"/>
        <w:jc w:val="both"/>
        <w:rPr>
          <w:rFonts w:hint="default" w:ascii="Times New Roman" w:hAnsi="Times New Roman" w:eastAsia="楷体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报考者本人有效学位证所载学位应与拟报考岗位的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学位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资格要求相符；报考者本人有效的毕业证所载学历和专业名称，应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28" w:firstLine="408" w:firstLineChars="170"/>
        <w:jc w:val="both"/>
        <w:textAlignment w:val="auto"/>
        <w:rPr>
          <w:rFonts w:hint="default" w:ascii="Times New Roman" w:hAnsi="Times New Roman" w:cs="Times New Roman"/>
          <w:dstrike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与拟报考岗位的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学历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专业条件要求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两栏分别相符。</w:t>
      </w:r>
    </w:p>
    <w:p/>
    <w:sectPr>
      <w:pgSz w:w="14572" w:h="10319" w:orient="landscape"/>
      <w:pgMar w:top="1588" w:right="283" w:bottom="1418" w:left="283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DF9045E"/>
    <w:rsid w:val="1DF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2023-09-25T02:42:00Z</dcterms:created>
  <dc:creator>Primadonna</dc:creator>
  <cp:lastModifiedBy>Primadonna</cp:lastModifiedBy>
  <dcterms:modified xsi:type="dcterms:W3CDTF">2023-09-25T02:42:53Z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E2821877AC7246D9BC9A3170C2F8D104_11</vt:lpwstr>
  </property>
</Properties>
</file>