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hd w:val="pct10" w:color="auto" w:fill="FFFFFF"/>
        </w:rPr>
      </w:pPr>
      <w:r>
        <w:rPr>
          <w:rFonts w:ascii="黑体" w:hAnsi="黑体" w:eastAsia="黑体"/>
          <w:sz w:val="32"/>
          <w:szCs w:val="32"/>
        </w:rPr>
        <w:t>附件</w:t>
      </w:r>
    </w:p>
    <w:tbl>
      <w:tblPr>
        <w:tblStyle w:val="4"/>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
        <w:gridCol w:w="1208"/>
        <w:gridCol w:w="781"/>
        <w:gridCol w:w="835"/>
        <w:gridCol w:w="1056"/>
        <w:gridCol w:w="427"/>
        <w:gridCol w:w="935"/>
        <w:gridCol w:w="1551"/>
        <w:gridCol w:w="4084"/>
        <w:gridCol w:w="1023"/>
        <w:gridCol w:w="148"/>
        <w:gridCol w:w="493"/>
        <w:gridCol w:w="782"/>
        <w:gridCol w:w="71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7" w:type="dxa"/>
          <w:trHeight w:val="940" w:hRule="atLeast"/>
          <w:jc w:val="center"/>
        </w:trPr>
        <w:tc>
          <w:tcPr>
            <w:tcW w:w="15125" w:type="dxa"/>
            <w:gridSpan w:val="14"/>
            <w:tcBorders>
              <w:top w:val="nil"/>
              <w:left w:val="nil"/>
              <w:bottom w:val="nil"/>
              <w:right w:val="nil"/>
            </w:tcBorders>
            <w:shd w:val="clear" w:color="auto" w:fill="auto"/>
            <w:noWrap w:val="0"/>
            <w:vAlign w:val="center"/>
          </w:tcPr>
          <w:p>
            <w:pPr>
              <w:spacing w:line="560" w:lineRule="exact"/>
              <w:jc w:val="center"/>
              <w:rPr>
                <w:rFonts w:ascii="方正小标宋简体" w:hAnsi="Arial" w:eastAsia="方正小标宋简体" w:cs="Arial"/>
                <w:bCs/>
                <w:color w:val="000000"/>
                <w:kern w:val="0"/>
                <w:sz w:val="44"/>
                <w:szCs w:val="44"/>
              </w:rPr>
            </w:pPr>
            <w:bookmarkStart w:id="0" w:name="_GoBack"/>
            <w:r>
              <w:rPr>
                <w:rFonts w:hint="eastAsia" w:ascii="方正小标宋简体" w:hAnsi="Arial" w:eastAsia="方正小标宋简体" w:cs="Arial"/>
                <w:bCs/>
                <w:color w:val="000000"/>
                <w:kern w:val="0"/>
                <w:sz w:val="44"/>
                <w:szCs w:val="44"/>
              </w:rPr>
              <w:t>四川省住房和城乡建设厅下属事业单位</w:t>
            </w:r>
            <w:r>
              <w:rPr>
                <w:rFonts w:hint="eastAsia" w:ascii="方正小标宋简体" w:hAnsi="Arial" w:eastAsia="方正小标宋简体" w:cs="Arial"/>
                <w:bCs/>
                <w:color w:val="000000"/>
                <w:kern w:val="0"/>
                <w:sz w:val="44"/>
                <w:szCs w:val="44"/>
              </w:rPr>
              <w:br w:type="textWrapping"/>
            </w:r>
            <w:r>
              <w:rPr>
                <w:rFonts w:hint="eastAsia" w:ascii="方正小标宋简体" w:hAnsi="Arial" w:eastAsia="方正小标宋简体" w:cs="Arial"/>
                <w:bCs/>
                <w:color w:val="000000"/>
                <w:kern w:val="0"/>
                <w:sz w:val="44"/>
                <w:szCs w:val="44"/>
              </w:rPr>
              <w:t>2023年下半年公开招聘工作人员岗位和条件要求一览表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5" w:type="dxa"/>
            <w:gridSpan w:val="2"/>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招聘单位</w:t>
            </w:r>
          </w:p>
        </w:tc>
        <w:tc>
          <w:tcPr>
            <w:tcW w:w="0" w:type="auto"/>
            <w:gridSpan w:val="2"/>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招聘岗位</w:t>
            </w:r>
          </w:p>
        </w:tc>
        <w:tc>
          <w:tcPr>
            <w:tcW w:w="0" w:type="auto"/>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岗位编码</w:t>
            </w:r>
          </w:p>
        </w:tc>
        <w:tc>
          <w:tcPr>
            <w:tcW w:w="0" w:type="auto"/>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招聘人数</w:t>
            </w:r>
          </w:p>
        </w:tc>
        <w:tc>
          <w:tcPr>
            <w:tcW w:w="7593" w:type="dxa"/>
            <w:gridSpan w:val="4"/>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其他条件要求</w:t>
            </w:r>
          </w:p>
        </w:tc>
        <w:tc>
          <w:tcPr>
            <w:tcW w:w="641" w:type="dxa"/>
            <w:gridSpan w:val="2"/>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笔试开考比例</w:t>
            </w:r>
          </w:p>
        </w:tc>
        <w:tc>
          <w:tcPr>
            <w:tcW w:w="782" w:type="dxa"/>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公共科目笔试名称</w:t>
            </w:r>
          </w:p>
        </w:tc>
        <w:tc>
          <w:tcPr>
            <w:tcW w:w="710" w:type="dxa"/>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专业笔试名称</w:t>
            </w:r>
          </w:p>
        </w:tc>
        <w:tc>
          <w:tcPr>
            <w:tcW w:w="1092" w:type="dxa"/>
            <w:vMerge w:val="restart"/>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25" w:type="dxa"/>
            <w:gridSpan w:val="2"/>
            <w:vMerge w:val="continue"/>
            <w:shd w:val="clear" w:color="auto" w:fill="auto"/>
            <w:noWrap w:val="0"/>
            <w:vAlign w:val="center"/>
          </w:tcPr>
          <w:p>
            <w:pPr>
              <w:widowControl/>
              <w:spacing w:line="300" w:lineRule="exact"/>
              <w:jc w:val="left"/>
              <w:rPr>
                <w:rFonts w:ascii="Times New Roman" w:hAnsi="Times New Roman" w:eastAsia="仿宋"/>
                <w:b/>
                <w:bCs/>
                <w:color w:val="000000"/>
                <w:kern w:val="0"/>
                <w:szCs w:val="21"/>
              </w:rPr>
            </w:pPr>
          </w:p>
        </w:tc>
        <w:tc>
          <w:tcPr>
            <w:tcW w:w="781" w:type="dxa"/>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岗位类别</w:t>
            </w:r>
          </w:p>
        </w:tc>
        <w:tc>
          <w:tcPr>
            <w:tcW w:w="835" w:type="dxa"/>
            <w:shd w:val="clear" w:color="auto" w:fill="auto"/>
            <w:noWrap w:val="0"/>
            <w:vAlign w:val="center"/>
          </w:tcPr>
          <w:p>
            <w:pPr>
              <w:widowControl/>
              <w:spacing w:line="300" w:lineRule="exact"/>
              <w:jc w:val="center"/>
              <w:rPr>
                <w:rFonts w:hint="eastAsia" w:ascii="Times New Roman" w:hAnsi="Times New Roman" w:eastAsia="仿宋"/>
                <w:b/>
                <w:bCs/>
                <w:color w:val="000000"/>
                <w:kern w:val="0"/>
                <w:szCs w:val="21"/>
              </w:rPr>
            </w:pPr>
            <w:r>
              <w:rPr>
                <w:rFonts w:ascii="Times New Roman" w:hAnsi="Times New Roman" w:eastAsia="仿宋"/>
                <w:b/>
                <w:bCs/>
                <w:color w:val="000000"/>
                <w:kern w:val="0"/>
                <w:szCs w:val="21"/>
              </w:rPr>
              <w:t>岗位</w:t>
            </w:r>
          </w:p>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名称</w:t>
            </w:r>
          </w:p>
        </w:tc>
        <w:tc>
          <w:tcPr>
            <w:tcW w:w="0" w:type="auto"/>
            <w:vMerge w:val="continue"/>
            <w:shd w:val="clear" w:color="auto" w:fill="auto"/>
            <w:noWrap w:val="0"/>
            <w:vAlign w:val="center"/>
          </w:tcPr>
          <w:p>
            <w:pPr>
              <w:widowControl/>
              <w:spacing w:line="300" w:lineRule="exact"/>
              <w:jc w:val="left"/>
              <w:rPr>
                <w:rFonts w:ascii="Times New Roman" w:hAnsi="Times New Roman" w:eastAsia="仿宋"/>
                <w:b/>
                <w:bCs/>
                <w:color w:val="000000"/>
                <w:kern w:val="0"/>
                <w:szCs w:val="21"/>
              </w:rPr>
            </w:pPr>
          </w:p>
        </w:tc>
        <w:tc>
          <w:tcPr>
            <w:tcW w:w="0" w:type="auto"/>
            <w:vMerge w:val="continue"/>
            <w:shd w:val="clear" w:color="auto" w:fill="auto"/>
            <w:noWrap w:val="0"/>
            <w:vAlign w:val="center"/>
          </w:tcPr>
          <w:p>
            <w:pPr>
              <w:widowControl/>
              <w:spacing w:line="300" w:lineRule="exact"/>
              <w:jc w:val="left"/>
              <w:rPr>
                <w:rFonts w:ascii="Times New Roman" w:hAnsi="Times New Roman" w:eastAsia="仿宋"/>
                <w:b/>
                <w:bCs/>
                <w:color w:val="000000"/>
                <w:kern w:val="0"/>
                <w:szCs w:val="21"/>
              </w:rPr>
            </w:pPr>
          </w:p>
        </w:tc>
        <w:tc>
          <w:tcPr>
            <w:tcW w:w="935" w:type="dxa"/>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年龄</w:t>
            </w:r>
          </w:p>
        </w:tc>
        <w:tc>
          <w:tcPr>
            <w:tcW w:w="1551" w:type="dxa"/>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学历或学位</w:t>
            </w:r>
          </w:p>
        </w:tc>
        <w:tc>
          <w:tcPr>
            <w:tcW w:w="4084" w:type="dxa"/>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专业条件要求</w:t>
            </w:r>
          </w:p>
        </w:tc>
        <w:tc>
          <w:tcPr>
            <w:tcW w:w="1023" w:type="dxa"/>
            <w:shd w:val="clear" w:color="auto" w:fill="auto"/>
            <w:noWrap w:val="0"/>
            <w:vAlign w:val="center"/>
          </w:tcPr>
          <w:p>
            <w:pPr>
              <w:widowControl/>
              <w:spacing w:line="300" w:lineRule="exact"/>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其他</w:t>
            </w:r>
          </w:p>
        </w:tc>
        <w:tc>
          <w:tcPr>
            <w:tcW w:w="641" w:type="dxa"/>
            <w:gridSpan w:val="2"/>
            <w:vMerge w:val="continue"/>
            <w:noWrap w:val="0"/>
            <w:vAlign w:val="center"/>
          </w:tcPr>
          <w:p>
            <w:pPr>
              <w:widowControl/>
              <w:spacing w:line="300" w:lineRule="exact"/>
              <w:jc w:val="left"/>
              <w:rPr>
                <w:rFonts w:ascii="Times New Roman" w:hAnsi="Times New Roman" w:eastAsia="仿宋"/>
                <w:b/>
                <w:bCs/>
                <w:color w:val="000000"/>
                <w:kern w:val="0"/>
                <w:szCs w:val="21"/>
              </w:rPr>
            </w:pPr>
          </w:p>
        </w:tc>
        <w:tc>
          <w:tcPr>
            <w:tcW w:w="782" w:type="dxa"/>
            <w:vMerge w:val="continue"/>
            <w:noWrap w:val="0"/>
            <w:vAlign w:val="center"/>
          </w:tcPr>
          <w:p>
            <w:pPr>
              <w:widowControl/>
              <w:spacing w:line="300" w:lineRule="exact"/>
              <w:jc w:val="left"/>
              <w:rPr>
                <w:rFonts w:ascii="Times New Roman" w:hAnsi="Times New Roman" w:eastAsia="仿宋"/>
                <w:b/>
                <w:bCs/>
                <w:color w:val="000000"/>
                <w:kern w:val="0"/>
                <w:szCs w:val="21"/>
              </w:rPr>
            </w:pPr>
          </w:p>
        </w:tc>
        <w:tc>
          <w:tcPr>
            <w:tcW w:w="710" w:type="dxa"/>
            <w:vMerge w:val="continue"/>
            <w:noWrap w:val="0"/>
            <w:vAlign w:val="center"/>
          </w:tcPr>
          <w:p>
            <w:pPr>
              <w:widowControl/>
              <w:spacing w:line="300" w:lineRule="exact"/>
              <w:jc w:val="left"/>
              <w:rPr>
                <w:rFonts w:ascii="Times New Roman" w:hAnsi="Times New Roman" w:eastAsia="仿宋"/>
                <w:b/>
                <w:bCs/>
                <w:color w:val="000000"/>
                <w:kern w:val="0"/>
                <w:szCs w:val="21"/>
              </w:rPr>
            </w:pPr>
          </w:p>
        </w:tc>
        <w:tc>
          <w:tcPr>
            <w:tcW w:w="1092" w:type="dxa"/>
            <w:vMerge w:val="continue"/>
            <w:noWrap w:val="0"/>
            <w:vAlign w:val="center"/>
          </w:tcPr>
          <w:p>
            <w:pPr>
              <w:widowControl/>
              <w:spacing w:line="300" w:lineRule="exact"/>
              <w:jc w:val="left"/>
              <w:rPr>
                <w:rFonts w:ascii="Times New Roman" w:hAnsi="Times New Roman" w:eastAsia="仿宋"/>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四川省建设工程消防和勘察设计技术中心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hint="eastAsia" w:ascii="Times New Roman" w:hAnsi="Times New Roman" w:eastAsia="仿宋"/>
                <w:color w:val="000000"/>
                <w:kern w:val="0"/>
                <w:szCs w:val="21"/>
              </w:rPr>
            </w:pPr>
            <w:r>
              <w:rPr>
                <w:rFonts w:ascii="Times New Roman" w:hAnsi="Times New Roman" w:eastAsia="仿宋"/>
                <w:color w:val="000000"/>
                <w:kern w:val="0"/>
                <w:szCs w:val="21"/>
              </w:rPr>
              <w:t>财务</w:t>
            </w:r>
          </w:p>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会计</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03801001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1995年1月1日及以后出生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本科：会计学专业，财务管理专业，审计学专业</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研究生：会计学专业，会计专业，财务管理专业，应用经济学（0202），审计学专业，审计专业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四川省建设工程消防和勘察设计技术中心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hint="eastAsia" w:ascii="Times New Roman" w:hAnsi="Times New Roman" w:eastAsia="仿宋"/>
                <w:color w:val="000000"/>
                <w:kern w:val="0"/>
                <w:szCs w:val="21"/>
              </w:rPr>
            </w:pPr>
            <w:r>
              <w:rPr>
                <w:rFonts w:ascii="Times New Roman" w:hAnsi="Times New Roman" w:eastAsia="仿宋"/>
                <w:color w:val="000000"/>
                <w:kern w:val="0"/>
                <w:szCs w:val="21"/>
              </w:rPr>
              <w:t>消防</w:t>
            </w:r>
          </w:p>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审验</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03801002</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1995年1月1日及以后出生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本科：建筑电气与智能化专业，电气工程及其自动化专业，电气工程与智能控制专业</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研究生：电气工程（0808），电气工程专业（085801）</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从事建筑电气工程消防审验工作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四川省建设工程造价总站</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财务会计</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03802003</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本科：会计学专业，财务管理专业，审计学专业；</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研究生：应用经济学（0202），会计学专业，会计专业，审计学专业，审计专业，财务管理专业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聘用到专业技术11级及以下岗位。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四川省建设工程招标投标总站</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办公室党务</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03803004</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研究生：哲学（0101），法学（0301），马克思主义理论（0305），中国语言文学（0501），新闻传播学（0503），公共管理（1204），公共管理（1252）</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四川省建设工程招标投标总站</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招投标监管技术支撑</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03803005</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研究生：土木工程（0814），建筑与土木工程专业，计算机科学与技术（0812），管理科学与工程（1201），工程管理（1256）</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需经常出差，工作强度较大。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四川省住房监测和研究发展中心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技术岗1</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03804006</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研究生：应用经济学（0202），应用统计（0252），统计学（0714），人力资源管理专业，财务管理专业</w:t>
            </w:r>
          </w:p>
        </w:tc>
        <w:tc>
          <w:tcPr>
            <w:tcW w:w="1023" w:type="dxa"/>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1.中共党员；</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2.取得经济类中级及以上职称。</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四川省住房监测和研究发展中心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技术岗2</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03804007</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研究生：机械工程（0802），土木工程（0814），工程管理（1256），建筑与土木工程专业，土木工程专业（085901）</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专职教师1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03805008</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研究生专业：马克思主义哲学专业，中国哲学专业，中国近现代史专业，法学（0301），政治学（0302），马克思主义理论（0305）</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专职辅导员A1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03805009</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哲学类，经济学类，法学类，教育学（0401）,心理学(0402),中国语言文学(0501),艺术学(0504),历史学(0601),数学(0701),力学(0801),机械工程(0802),仪器科学与技术(0804),材料科学与工程(0805),电气工程(0808),电子科学与技术(0809),信息与通信工程(0810),控制科学与工程(0811),计算机科学与技术(0812),建筑学(0813),土木工程(0814),水利工程(0815),测绘科学与技术(0816),地质资源与地质工程(0818),交通运输工程(0823),环境科学与工程(0830),城乡规划学(0833),风景园林学(0834),软件工程(0835),园艺学(0902),管理科学与工程(1201),工商管理(1202),公共管理(1204),艺术学理论(1301),音乐与舞蹈学(1302),戏剧与影视学(1303),美术学(1304),设计学(1305),审计(0257),法律(0351),社会工作(0352),教育(0451),应用心理(0454),翻译(0551),建筑学(0851),工程(0852),城市规划(0853),电子信息(0854),机械(0855),材料与化工(0856),资源与环境(0857),能源动力(0858),土木水利(0859),交通运输(0861),风景园林(0953),会计(1253),工程管理(125</w:t>
            </w:r>
            <w:r>
              <w:rPr>
                <w:rFonts w:hint="eastAsia" w:ascii="Times New Roman" w:hAnsi="Times New Roman" w:eastAsia="仿宋"/>
                <w:color w:val="000000"/>
                <w:kern w:val="0"/>
                <w:szCs w:val="21"/>
              </w:rPr>
              <w:t>6</w:t>
            </w:r>
            <w:r>
              <w:rPr>
                <w:rFonts w:ascii="Times New Roman" w:hAnsi="Times New Roman" w:eastAsia="仿宋"/>
                <w:color w:val="000000"/>
                <w:kern w:val="0"/>
                <w:szCs w:val="21"/>
              </w:rPr>
              <w:t>),艺术(1351),英语语言文学专业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需长期在女生公寓入住。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专职辅导员B1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03805010</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10</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哲学类，经济学类，法学类，教育学（0401）,心理学(0402),中国语言文学(0501),艺术学(0504),历史学(0601),数学(0701),力学(0801),机械工程(0802),仪器科学与技术(0804),材料科学与工程(0805),电气工程(0808),电子科学与技术(0809),信息与通信工程(0810),控制科学与工程(0811),计算机科学与技术(0812),建筑学(0813),土木工程(0814),水利工程(0815),测绘科学与技术(0816),地质资源与地质工程(0818),交通运输工程(0823),环境科学与工程(0830),城乡规划学(0833),风景园林学(0834),软件工程(0835),园艺学(0902),管理科学与工程(1201),工商管理(1202),公共管理(1204),艺术学理论(1301),音乐与舞蹈学(1302),戏剧与影视学(1303),美术学(1304),设计学(1305),审计(0257),法律(0351),社会工作(0352),教育(0451),应用心理(0454),翻译(0551),建筑学(0851),工程(0852),城市规划(0853),电子信息(0854),机械(0855),材料与化工(0856),资源与环境(0857),能源动力(0858),土木水利(0859),交通运输(0861),风景园林(0953),会计(1253),工程管理(125</w:t>
            </w:r>
            <w:r>
              <w:rPr>
                <w:rFonts w:hint="eastAsia" w:ascii="Times New Roman" w:hAnsi="Times New Roman" w:eastAsia="仿宋"/>
                <w:color w:val="000000"/>
                <w:kern w:val="0"/>
                <w:szCs w:val="21"/>
              </w:rPr>
              <w:t>6</w:t>
            </w:r>
            <w:r>
              <w:rPr>
                <w:rFonts w:ascii="Times New Roman" w:hAnsi="Times New Roman" w:eastAsia="仿宋"/>
                <w:color w:val="000000"/>
                <w:kern w:val="0"/>
                <w:szCs w:val="21"/>
              </w:rPr>
              <w:t>),艺术(1351),英语语言文学专业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需长期在男生公寓入住。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专职辅导员A2</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03805011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8</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研究生学历或硕士及以上学位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哲学类，经济学类，法学类，教育学（0401）,心理学(0402),中国语言文学(0501),艺术学(0504),历史学(0601),数学(0701),力学(0801),机械工程(0802),仪器科学与技术(0804),材料科学与工程(0805),电气工程(0808),电子科学与技术(0809),信息与通信工程(0810),控制科学与工程(0811),计算机科学与技术(0812),建筑学(0813),土木工程(0814),水利工程(0815),测绘科学与技术(0816),地质资源与地质工程(0818),交通运输工程(0823),环境科学与工程(0830),城乡规划学(0833),风景园林学(0834),软件工程(0835),园艺学(0902),管理科学与工程(1201),工商管理(1202),公共管理(1204),艺术学理论(1301),音乐与舞蹈学(1302),戏剧与影视学(1303),美术学(1304),设计学(1305),审计(0257),法律(0351),社会工作(0352),教育(0451),应用心理(0454),翻译(0551),建筑学(0851),工程(0852),城市规划(0853),电子信息(0854),机械(0855),材料与化工(0856),资源与环境(0857),能源动力(0858),土木水利(0859),交通运输(0861),风景园林(0953),会计(1253),工程管理(125</w:t>
            </w:r>
            <w:r>
              <w:rPr>
                <w:rFonts w:hint="eastAsia" w:ascii="Times New Roman" w:hAnsi="Times New Roman" w:eastAsia="仿宋"/>
                <w:color w:val="000000"/>
                <w:kern w:val="0"/>
                <w:szCs w:val="21"/>
              </w:rPr>
              <w:t>6</w:t>
            </w:r>
            <w:r>
              <w:rPr>
                <w:rFonts w:ascii="Times New Roman" w:hAnsi="Times New Roman" w:eastAsia="仿宋"/>
                <w:color w:val="000000"/>
                <w:kern w:val="0"/>
                <w:szCs w:val="21"/>
              </w:rPr>
              <w:t>),艺术(1351),英语语言文学专业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1、中共党员；</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2、取得高校教师资格证；</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3、具有高校学生工作经历（以聘用、劳动合同及相对应的社保缴存记录为准，并由工作单位提供相关工作证明）。</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需长期在女生公寓入住。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专职辅导员B2</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03805012</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8</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研究生学历或硕士及以上学位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哲学类，经济学类，法学类，教育学（0401）,心理学(0402),中国语言文学(0501),艺术学(0504),历史学(0601),数学(0701),力学(0801),机械工程(0802),仪器科学与技术(0804),材料科学与工程(0805),电气工程(0808),电子科学与技术(0809),信息与通信工程(0810),控制科学与工程(0811),计算机科学与技术(0812),建筑学(0813),土木工程(0814),水利工程(0815),测绘科学与技术(0816),地质资源与地质工程(0818),交通运输工程(0823),环境科学与工程(0830),城乡规划学(0833),风景园林学(0834),软件工程(0835),园艺学(0902),管理科学与工程(1201),工商管理(1202),公共管理(1204),艺术学理论(1301),音乐与舞蹈学(1302),戏剧与影视学(1303),美术学(1304),设计学(1305),审计(0257),法律(0351),社会工作(0352),教育(0451),应用心理(0454),翻译(0551),建筑学(0851),工程(0852),城市规划(0853),电子信息(0854),机械(0855),材料与化工(0856),资源与环境(0857),能源动力(0858),土木水利(0859),交通运输(0861),风景园林(0953),会计(1253),工程管理(125</w:t>
            </w:r>
            <w:r>
              <w:rPr>
                <w:rFonts w:hint="eastAsia" w:ascii="Times New Roman" w:hAnsi="Times New Roman" w:eastAsia="仿宋"/>
                <w:color w:val="000000"/>
                <w:kern w:val="0"/>
                <w:szCs w:val="21"/>
              </w:rPr>
              <w:t>6</w:t>
            </w:r>
            <w:r>
              <w:rPr>
                <w:rFonts w:ascii="Times New Roman" w:hAnsi="Times New Roman" w:eastAsia="仿宋"/>
                <w:color w:val="000000"/>
                <w:kern w:val="0"/>
                <w:szCs w:val="21"/>
              </w:rPr>
              <w:t>),艺术(1351),英语语言文学专业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1.中共党员；</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2.取得高校教师资格证；</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3.具有高校学生工作经历（以聘用、劳动合同及相对应的社保缴存记录为准，并由工作单位提供相关工作证明）。</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需长期在男生公寓入住。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管理岗位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党务干事</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03805013</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研究生学历或硕士及以上学位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研究生或硕士：马克思主义中国化研究专业，新闻学专业，土木工程（0814），水利工程（0815），交通运输工程（0823），软件工程（0835），新闻与传播（0552），土木水利（0859），交通运输（0861）</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四川建筑职业技术学院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管理岗位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薪酬管理干事</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03805014</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研究生学历或硕士及以上学位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研究生或硕士：管理科学与工程（1201），工商管理（1202），公共管理（1204），数学（0701）</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中共党员。</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技术岗1</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03806015</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本科：土木工程专业，城市地下空间工程专业，道路桥梁与渡河工程专业；</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研究生：岩土工程专业，结构工程专业，桥梁与隧道工程专业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1.取得建设工程类高级职称；</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2.取得一级注册结构工程师职业资格证。</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技术岗2</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03806016</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本科：城乡规划学专业，城市规划专业，城乡规划专业；</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研究生：城市规划专业，城市规划与设计专业，城乡规划学专业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1.取得建设工程类高级职称；</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2.取得注册城乡规划师职业资格。</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技术岗3</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03806017</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研究生：城市规划专业，城市规划与设计专业，城乡规划学专业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1.取得建设工程类中级及以上职称；</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2.取得注册城乡规划师职业资格。</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技术岗4</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03806018</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研究生学历或硕士及以上学位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研究生：风景园林学专业，风景园林专业</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取得建设工程类中级及以上职称。</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技术岗5</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03806019</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研究生：建筑学（0813）</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取得建设工程类中级及以上职称。</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四川省城乡建设研究院</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技术岗6</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03806020</w:t>
            </w:r>
          </w:p>
        </w:tc>
        <w:tc>
          <w:tcPr>
            <w:tcW w:w="0" w:type="auto"/>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1992年1月1日及以后出生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研究生：环境科学与工程（0830）</w:t>
            </w:r>
          </w:p>
        </w:tc>
        <w:tc>
          <w:tcPr>
            <w:tcW w:w="1023"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1.取得建设工程类初级及以上职称；</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2.取得注册环保工程师职业资格。</w:t>
            </w:r>
          </w:p>
        </w:tc>
        <w:tc>
          <w:tcPr>
            <w:tcW w:w="641" w:type="dxa"/>
            <w:gridSpan w:val="2"/>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四川省建设岗位培训与执业资格注册中心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信息化建设管理</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03807021</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研究生学历，并取得硕士及以上学位</w:t>
            </w:r>
          </w:p>
        </w:tc>
        <w:tc>
          <w:tcPr>
            <w:tcW w:w="4084" w:type="dxa"/>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计算机科学与技术(0812)，计算机科学与技术（0775），软件工程专业，网络与信息安全专业，计算机技术专业，大数据技术与工程专业，软件工程技术专业，信息安全专业，计算机系统结构专业，计算机软件与理论专业，计算机应用技术，信息与通信工程专业，通信与信息系统专业，计算机与信息管理专业，应用软件工程专业</w:t>
            </w:r>
          </w:p>
        </w:tc>
        <w:tc>
          <w:tcPr>
            <w:tcW w:w="1171" w:type="dxa"/>
            <w:gridSpan w:val="2"/>
            <w:shd w:val="clear" w:color="auto" w:fill="auto"/>
            <w:noWrap w:val="0"/>
            <w:vAlign w:val="center"/>
          </w:tcPr>
          <w:p>
            <w:pPr>
              <w:widowControl/>
              <w:spacing w:line="280" w:lineRule="exact"/>
              <w:jc w:val="left"/>
              <w:rPr>
                <w:rFonts w:ascii="Times New Roman" w:hAnsi="Times New Roman" w:eastAsia="仿宋"/>
                <w:color w:val="000000"/>
                <w:kern w:val="0"/>
                <w:szCs w:val="21"/>
              </w:rPr>
            </w:pPr>
          </w:p>
        </w:tc>
        <w:tc>
          <w:tcPr>
            <w:tcW w:w="493" w:type="dxa"/>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ign w:val="bottom"/>
          </w:tcPr>
          <w:p>
            <w:pPr>
              <w:widowControl/>
              <w:spacing w:line="300" w:lineRule="exact"/>
              <w:jc w:val="left"/>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425" w:type="dxa"/>
            <w:gridSpan w:val="2"/>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四川省村镇建设发展中心</w:t>
            </w:r>
          </w:p>
        </w:tc>
        <w:tc>
          <w:tcPr>
            <w:tcW w:w="781"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建设规划技术服务</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03808022</w:t>
            </w:r>
          </w:p>
        </w:tc>
        <w:tc>
          <w:tcPr>
            <w:tcW w:w="0" w:type="auto"/>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 xml:space="preserve">本科：资源环境与城乡规划管理专业，人文地理与城乡规划专业，城市规划专业，城乡规划专业                                   </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研究生：城乡规划学专业，城市规划专业，风景园林学专业</w:t>
            </w:r>
          </w:p>
        </w:tc>
        <w:tc>
          <w:tcPr>
            <w:tcW w:w="1171" w:type="dxa"/>
            <w:gridSpan w:val="2"/>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1.取得建设工程类高级职称；                        2.取得注册城乡（城市）规划师职业资格。</w:t>
            </w:r>
          </w:p>
        </w:tc>
        <w:tc>
          <w:tcPr>
            <w:tcW w:w="493" w:type="dxa"/>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需适应长期调研出差、加班。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425" w:type="dxa"/>
            <w:gridSpan w:val="2"/>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四川省村镇建设发展中心</w:t>
            </w:r>
          </w:p>
        </w:tc>
        <w:tc>
          <w:tcPr>
            <w:tcW w:w="781"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规划设计技术服务</w:t>
            </w:r>
          </w:p>
        </w:tc>
        <w:tc>
          <w:tcPr>
            <w:tcW w:w="0" w:type="auto"/>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03808023</w:t>
            </w:r>
          </w:p>
        </w:tc>
        <w:tc>
          <w:tcPr>
            <w:tcW w:w="0" w:type="auto"/>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1987年1月1日及以后出生</w:t>
            </w:r>
          </w:p>
        </w:tc>
        <w:tc>
          <w:tcPr>
            <w:tcW w:w="1551"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tcBorders>
              <w:bottom w:val="single" w:color="auto" w:sz="4" w:space="0"/>
            </w:tcBorders>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本科：城市规划专业，城乡规划专业，建筑工程专业，建筑工程管理专业，工程管理专业                                   研究生：城乡规划学专业，风景园林学专业，建筑设计及其理论专业</w:t>
            </w:r>
          </w:p>
        </w:tc>
        <w:tc>
          <w:tcPr>
            <w:tcW w:w="1171" w:type="dxa"/>
            <w:gridSpan w:val="2"/>
            <w:tcBorders>
              <w:bottom w:val="single" w:color="auto" w:sz="4" w:space="0"/>
            </w:tcBorders>
            <w:shd w:val="clear" w:color="auto" w:fill="auto"/>
            <w:noWrap w:val="0"/>
            <w:vAlign w:val="center"/>
          </w:tcPr>
          <w:p>
            <w:pPr>
              <w:widowControl/>
              <w:spacing w:line="28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1.取得建设工程类高级职称；                       2.取得一级注册建筑师职业资格。</w:t>
            </w:r>
          </w:p>
        </w:tc>
        <w:tc>
          <w:tcPr>
            <w:tcW w:w="493" w:type="dxa"/>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需适应长期调研出差、加班。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25" w:type="dxa"/>
            <w:gridSpan w:val="2"/>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四川省村镇建设发展中心</w:t>
            </w:r>
          </w:p>
        </w:tc>
        <w:tc>
          <w:tcPr>
            <w:tcW w:w="781"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专业技术岗位</w:t>
            </w:r>
          </w:p>
        </w:tc>
        <w:tc>
          <w:tcPr>
            <w:tcW w:w="835"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工程设计技术服务</w:t>
            </w:r>
          </w:p>
        </w:tc>
        <w:tc>
          <w:tcPr>
            <w:tcW w:w="0" w:type="auto"/>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03808024</w:t>
            </w:r>
          </w:p>
        </w:tc>
        <w:tc>
          <w:tcPr>
            <w:tcW w:w="0" w:type="auto"/>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1</w:t>
            </w:r>
          </w:p>
        </w:tc>
        <w:tc>
          <w:tcPr>
            <w:tcW w:w="935"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1982年1月1日及以后出生</w:t>
            </w:r>
          </w:p>
        </w:tc>
        <w:tc>
          <w:tcPr>
            <w:tcW w:w="1551"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国民教育本科及以上学历，并取得学士及以上学位</w:t>
            </w:r>
          </w:p>
        </w:tc>
        <w:tc>
          <w:tcPr>
            <w:tcW w:w="4084"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 xml:space="preserve">本科：建筑工程专业，建筑工程管理专业，工程管理专业                             </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研究生：结构工程专业，市政工程专业，建筑与土木工程专业</w:t>
            </w:r>
          </w:p>
        </w:tc>
        <w:tc>
          <w:tcPr>
            <w:tcW w:w="1023"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同时满足以下条件：</w:t>
            </w:r>
            <w:r>
              <w:rPr>
                <w:rFonts w:ascii="Times New Roman" w:hAnsi="Times New Roman" w:eastAsia="仿宋"/>
                <w:color w:val="000000"/>
                <w:kern w:val="0"/>
                <w:szCs w:val="21"/>
              </w:rPr>
              <w:br w:type="textWrapping"/>
            </w:r>
            <w:r>
              <w:rPr>
                <w:rFonts w:ascii="Times New Roman" w:hAnsi="Times New Roman" w:eastAsia="仿宋"/>
                <w:color w:val="000000"/>
                <w:kern w:val="0"/>
                <w:szCs w:val="21"/>
              </w:rPr>
              <w:t>1.取得建设工程类高级职称；                       2.取得一级注册结构师职业资格。</w:t>
            </w:r>
          </w:p>
        </w:tc>
        <w:tc>
          <w:tcPr>
            <w:tcW w:w="641" w:type="dxa"/>
            <w:gridSpan w:val="2"/>
            <w:tcBorders>
              <w:bottom w:val="single" w:color="auto" w:sz="4" w:space="0"/>
            </w:tcBorders>
            <w:shd w:val="clear" w:color="auto" w:fill="auto"/>
            <w:noWrap/>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782"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综合知识</w:t>
            </w:r>
          </w:p>
        </w:tc>
        <w:tc>
          <w:tcPr>
            <w:tcW w:w="710" w:type="dxa"/>
            <w:tcBorders>
              <w:bottom w:val="single" w:color="auto" w:sz="4" w:space="0"/>
            </w:tcBorders>
            <w:shd w:val="clear" w:color="auto" w:fill="auto"/>
            <w:noWrap w:val="0"/>
            <w:vAlign w:val="center"/>
          </w:tcPr>
          <w:p>
            <w:pPr>
              <w:widowControl/>
              <w:spacing w:line="300" w:lineRule="exact"/>
              <w:jc w:val="center"/>
              <w:rPr>
                <w:rFonts w:ascii="Times New Roman" w:hAnsi="Times New Roman" w:eastAsia="仿宋"/>
                <w:color w:val="000000"/>
                <w:kern w:val="0"/>
                <w:szCs w:val="21"/>
              </w:rPr>
            </w:pPr>
            <w:r>
              <w:rPr>
                <w:rFonts w:ascii="Times New Roman" w:hAnsi="Times New Roman" w:eastAsia="仿宋"/>
                <w:color w:val="000000"/>
                <w:kern w:val="0"/>
                <w:szCs w:val="21"/>
              </w:rPr>
              <w:t>无</w:t>
            </w:r>
          </w:p>
        </w:tc>
        <w:tc>
          <w:tcPr>
            <w:tcW w:w="1092" w:type="dxa"/>
            <w:tcBorders>
              <w:bottom w:val="single" w:color="auto" w:sz="4" w:space="0"/>
            </w:tcBorders>
            <w:shd w:val="clear" w:color="auto" w:fill="auto"/>
            <w:noWrap w:val="0"/>
            <w:vAlign w:val="center"/>
          </w:tcPr>
          <w:p>
            <w:pPr>
              <w:widowControl/>
              <w:spacing w:line="300" w:lineRule="exact"/>
              <w:jc w:val="left"/>
              <w:rPr>
                <w:rFonts w:ascii="Times New Roman" w:hAnsi="Times New Roman" w:eastAsia="仿宋"/>
                <w:color w:val="000000"/>
                <w:kern w:val="0"/>
                <w:szCs w:val="21"/>
              </w:rPr>
            </w:pPr>
            <w:r>
              <w:rPr>
                <w:rFonts w:ascii="Times New Roman" w:hAnsi="Times New Roman" w:eastAsia="仿宋"/>
                <w:color w:val="000000"/>
                <w:kern w:val="0"/>
                <w:szCs w:val="21"/>
              </w:rPr>
              <w:t>需适应长期调研出差、加班。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5342" w:type="dxa"/>
            <w:gridSpan w:val="15"/>
            <w:tcBorders>
              <w:top w:val="single" w:color="auto" w:sz="4" w:space="0"/>
              <w:left w:val="nil"/>
              <w:bottom w:val="nil"/>
              <w:right w:val="nil"/>
            </w:tcBorders>
            <w:shd w:val="clear" w:color="auto" w:fill="auto"/>
            <w:noWrap w:val="0"/>
            <w:vAlign w:val="center"/>
          </w:tcPr>
          <w:p>
            <w:pPr>
              <w:widowControl/>
              <w:spacing w:line="400" w:lineRule="exact"/>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注：1、本表各岗位相关的其他条件及要求请见本公告正文；2、报考者本人有效学位证所载学位应与拟报考岗位的“学位”资格要求相符。报考者本人有效的毕业证、学位证所载学历和专业名称，应与拟报考岗位的“学历”和“专业条件要求”两栏分别相符。3、“专业条件要求”为一级学科名称（含代码）的，考生所学专业</w:t>
            </w:r>
            <w:r>
              <w:rPr>
                <w:rFonts w:hint="eastAsia" w:ascii="Times New Roman" w:hAnsi="Times New Roman" w:eastAsia="仿宋"/>
                <w:color w:val="000000"/>
                <w:kern w:val="0"/>
                <w:sz w:val="28"/>
                <w:szCs w:val="28"/>
              </w:rPr>
              <w:t>属于</w:t>
            </w:r>
            <w:r>
              <w:rPr>
                <w:rFonts w:ascii="Times New Roman" w:hAnsi="Times New Roman" w:eastAsia="仿宋"/>
                <w:color w:val="000000"/>
                <w:kern w:val="0"/>
                <w:sz w:val="28"/>
                <w:szCs w:val="28"/>
              </w:rPr>
              <w:t>该一级学科</w:t>
            </w:r>
            <w:r>
              <w:rPr>
                <w:rFonts w:hint="eastAsia" w:ascii="Times New Roman" w:hAnsi="Times New Roman" w:eastAsia="仿宋"/>
                <w:color w:val="000000"/>
                <w:kern w:val="0"/>
                <w:sz w:val="28"/>
                <w:szCs w:val="28"/>
              </w:rPr>
              <w:t>的</w:t>
            </w:r>
            <w:r>
              <w:rPr>
                <w:rFonts w:ascii="Times New Roman" w:hAnsi="Times New Roman" w:eastAsia="仿宋"/>
                <w:color w:val="000000"/>
                <w:kern w:val="0"/>
                <w:sz w:val="28"/>
                <w:szCs w:val="28"/>
              </w:rPr>
              <w:t>，则符合专业要求；“专业条件要求”为二级学科名称的，考生所学专业名称须与所列出的二级学科专业名称一致。4、工程技术人才取得的工程领域职业资格，可对应相应层级的职称。5、岗位条件要求为中共党员的，包含预备党员。6.四川建筑职业技术学院招聘的专业技术岗位拟聘至专业技术岗十级及以下，管理岗位拟聘至管理岗七级及以下。</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ODUwODExOWM5OGIxMDUzMjk5ZThlNGQ4ZDljNGMifQ=="/>
  </w:docVars>
  <w:rsids>
    <w:rsidRoot w:val="23F1546B"/>
    <w:rsid w:val="23F1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next w:val="1"/>
    <w:qFormat/>
    <w:uiPriority w:val="0"/>
    <w:pPr>
      <w:widowControl w:val="0"/>
      <w:ind w:firstLine="420" w:firstLineChars="200"/>
      <w:jc w:val="both"/>
      <w:textAlignment w:val="baseline"/>
    </w:pPr>
    <w:rPr>
      <w:rFonts w:ascii="Times New Roman" w:hAnsi="Times New Roman" w:eastAsia="宋体" w:cs="Times New Roman"/>
      <w:kern w:val="2"/>
      <w:sz w:val="32"/>
      <w:szCs w:val="24"/>
      <w:lang w:val="en-US" w:eastAsia="zh-CN" w:bidi="ar-SA"/>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2023-09-23T10:09:00Z</dcterms:created>
  <dc:creator>Lenovo</dc:creator>
  <cp:lastModifiedBy>Lenovo</cp:lastModifiedBy>
  <dcterms:modified xsi:type="dcterms:W3CDTF">2023-09-23T10:09:37Z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819927842B084ED5BB9E72C434677D85_11</vt:lpwstr>
  </property>
</Properties>
</file>