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2</w:t>
      </w:r>
    </w:p>
    <w:p>
      <w:pPr>
        <w:widowControl w:val="0"/>
        <w:ind w:firstLine="3520" w:firstLineChars="1100"/>
        <w:rPr>
          <w:rFonts w:hint="eastAsia" w:ascii="仿宋_GB2312" w:hAnsi="仿宋_GB2312" w:eastAsia="仿宋_GB2312" w:cs="仿宋_GB2312"/>
          <w:color w:val="auto"/>
          <w:sz w:val="32"/>
          <w:szCs w:val="32"/>
          <w:lang w:val="en-US" w:eastAsia="zh-CN"/>
        </w:rPr>
      </w:pPr>
      <w:bookmarkStart w:id="0" w:name="_GoBack"/>
    </w:p>
    <w:bookmarkEnd w:id="0"/>
    <w:p>
      <w:pPr>
        <w:widowControl w:val="0"/>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val="en-US" w:eastAsia="zh-CN"/>
        </w:rPr>
        <w:t>声  明</w:t>
      </w:r>
    </w:p>
    <w:p>
      <w:pPr>
        <w:widowControl w:val="0"/>
        <w:rPr>
          <w:rFonts w:hint="eastAsia" w:ascii="仿宋_GB2312" w:hAnsi="仿宋_GB2312" w:eastAsia="仿宋_GB2312" w:cs="仿宋_GB2312"/>
          <w:color w:val="auto"/>
          <w:sz w:val="32"/>
          <w:szCs w:val="32"/>
        </w:rPr>
      </w:pPr>
    </w:p>
    <w:p>
      <w:pPr>
        <w:widowControl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（身份证号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广西壮族自治区退役军人康复中心</w:t>
      </w:r>
      <w:r>
        <w:rPr>
          <w:rFonts w:hint="eastAsia" w:ascii="仿宋_GB2312" w:hAnsi="仿宋_GB2312" w:eastAsia="仿宋_GB2312" w:cs="仿宋_GB2312"/>
          <w:color w:val="auto"/>
          <w:sz w:val="32"/>
          <w:szCs w:val="32"/>
        </w:rPr>
        <w:t>、广西壮族自治区退役军人事务厅及其直属事业单位在编在职工作人员</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存在《事业单位人事管理回避规定》中所列亲属关系。</w:t>
      </w:r>
    </w:p>
    <w:p>
      <w:pPr>
        <w:widowControl w:val="0"/>
        <w:ind w:firstLine="640" w:firstLineChars="200"/>
        <w:rPr>
          <w:rFonts w:hint="eastAsia" w:ascii="仿宋_GB2312" w:hAnsi="仿宋_GB2312" w:eastAsia="仿宋_GB2312" w:cs="仿宋_GB2312"/>
          <w:color w:val="auto"/>
          <w:sz w:val="32"/>
          <w:szCs w:val="32"/>
        </w:rPr>
      </w:pPr>
    </w:p>
    <w:p>
      <w:pPr>
        <w:widowControl w:val="0"/>
        <w:ind w:firstLine="640" w:firstLineChars="200"/>
        <w:rPr>
          <w:rFonts w:hint="eastAsia" w:ascii="仿宋_GB2312" w:hAnsi="仿宋_GB2312" w:eastAsia="仿宋_GB2312" w:cs="仿宋_GB2312"/>
          <w:sz w:val="32"/>
          <w:szCs w:val="32"/>
        </w:rPr>
      </w:pPr>
    </w:p>
    <w:p>
      <w:pPr>
        <w:widowControl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声明人：</w:t>
      </w:r>
    </w:p>
    <w:p>
      <w:pPr>
        <w:widowControl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PMingLiU-ExtB"/>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FFFFFFF" w:usb1="E9FFFFFF" w:usb2="0000003F" w:usb3="00000000" w:csb0="603F01FF" w:csb1="FFFF0000"/>
  </w:font>
  <w:font w:name="义启紫水晶体">
    <w:panose1 w:val="02000500000000000000"/>
    <w:charset w:val="80"/>
    <w:family w:val="auto"/>
    <w:pitch w:val="default"/>
    <w:sig w:usb0="E00002FF" w:usb1="5800205B" w:usb2="00000028" w:usb3="00000000" w:csb0="2002019F"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YzlmMWY0ZDY3OThmM2JhNmQ4MDk2MjkzMDQ5ZWMifQ=="/>
  </w:docVars>
  <w:rsids>
    <w:rsidRoot w:val="48450FBD"/>
    <w:rsid w:val="48450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UserStyle_0"/>
    <w:next w:val="3"/>
    <w:qFormat/>
    <w:uiPriority w:val="0"/>
    <w:pPr>
      <w:textAlignment w:val="baseline"/>
    </w:pPr>
    <w:rPr>
      <w:rFonts w:ascii="方正小标宋_GBK" w:hAnsi="等线" w:eastAsia="方正小标宋_GBK" w:cs="Times New Roman"/>
      <w:color w:val="000000"/>
      <w:sz w:val="24"/>
      <w:szCs w:val="22"/>
      <w:lang w:val="en-US" w:eastAsia="zh-CN" w:bidi="ar-SA"/>
    </w:rPr>
  </w:style>
  <w:style w:type="paragraph" w:customStyle="1" w:styleId="3">
    <w:name w:val="Index6"/>
    <w:basedOn w:val="1"/>
    <w:next w:val="1"/>
    <w:qFormat/>
    <w:uiPriority w:val="0"/>
    <w:pPr>
      <w:widowControl/>
      <w:ind w:left="21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2023-09-25T01:35:00Z</dcterms:created>
  <dc:creator>Q</dc:creator>
  <cp:lastModifiedBy>Q</cp:lastModifiedBy>
  <dcterms:modified xsi:type="dcterms:W3CDTF">2023-09-25T01:36:30Z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F5E0987C8C83440FA5A1912060D1DCEA_11</vt:lpwstr>
  </property>
</Properties>
</file>