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80" w:lineRule="exact"/>
        <w:jc w:val="center"/>
        <w:textAlignment w:val="auto"/>
        <w:outlineLvl w:val="9"/>
        <w:rPr>
          <w:rStyle w:val="7"/>
          <w:rFonts w:ascii="宋体" w:hAnsi="宋体" w:cs="宋体"/>
          <w:b/>
          <w:sz w:val="36"/>
          <w:szCs w:val="36"/>
        </w:rPr>
      </w:pPr>
      <w:r>
        <w:rPr>
          <w:rStyle w:val="7"/>
          <w:rFonts w:hint="eastAsia" w:ascii="宋体" w:hAnsi="宋体" w:cs="宋体"/>
          <w:b/>
          <w:sz w:val="36"/>
          <w:szCs w:val="36"/>
        </w:rPr>
        <w:t>宁波市第二十五届高层次人才引进洽谈会</w:t>
      </w:r>
    </w:p>
    <w:p>
      <w:pPr>
        <w:keepNext w:val="0"/>
        <w:keepLines w:val="0"/>
        <w:pageBreakBefore w:val="0"/>
        <w:kinsoku/>
        <w:wordWrap/>
        <w:overflowPunct/>
        <w:topLinePunct w:val="0"/>
        <w:autoSpaceDE/>
        <w:autoSpaceDN/>
        <w:bidi w:val="0"/>
        <w:adjustRightInd/>
        <w:snapToGrid/>
        <w:spacing w:line="480" w:lineRule="exact"/>
        <w:jc w:val="center"/>
        <w:textAlignment w:val="auto"/>
        <w:outlineLvl w:val="9"/>
        <w:rPr>
          <w:rStyle w:val="7"/>
          <w:rFonts w:ascii="宋体" w:hAnsi="宋体"/>
          <w:sz w:val="36"/>
          <w:szCs w:val="36"/>
        </w:rPr>
      </w:pPr>
      <w:r>
        <w:rPr>
          <w:rStyle w:val="7"/>
          <w:rFonts w:hint="eastAsia" w:ascii="宋体" w:hAnsi="宋体" w:cs="宋体"/>
          <w:b/>
          <w:sz w:val="36"/>
          <w:szCs w:val="36"/>
        </w:rPr>
        <w:t>宁波市</w:t>
      </w:r>
      <w:r>
        <w:rPr>
          <w:rFonts w:hint="eastAsia" w:ascii="宋体" w:hAnsi="宋体" w:cs="宋体"/>
          <w:b/>
          <w:bCs/>
          <w:sz w:val="36"/>
          <w:szCs w:val="36"/>
        </w:rPr>
        <w:t>卫生健康委直属事业单位公开招聘岗位</w:t>
      </w:r>
    </w:p>
    <w:p>
      <w:pPr>
        <w:jc w:val="center"/>
        <w:rPr>
          <w:rStyle w:val="7"/>
          <w:rFonts w:ascii="宋体" w:hAnsi="宋体"/>
          <w:sz w:val="24"/>
          <w:szCs w:val="24"/>
        </w:rPr>
      </w:pPr>
    </w:p>
    <w:tbl>
      <w:tblPr>
        <w:tblStyle w:val="3"/>
        <w:tblW w:w="952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4"/>
        <w:gridCol w:w="686"/>
        <w:gridCol w:w="449"/>
        <w:gridCol w:w="1800"/>
        <w:gridCol w:w="2880"/>
        <w:gridCol w:w="540"/>
        <w:gridCol w:w="1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7" w:hRule="atLeast"/>
          <w:jc w:val="center"/>
        </w:trPr>
        <w:tc>
          <w:tcPr>
            <w:tcW w:w="1264"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14:textFill>
                  <w14:solidFill>
                    <w14:schemeClr w14:val="tx1"/>
                  </w14:solidFill>
                </w14:textFill>
              </w:rPr>
              <w:t>招聘</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14:textFill>
                  <w14:solidFill>
                    <w14:schemeClr w14:val="tx1"/>
                  </w14:solidFill>
                </w14:textFill>
              </w:rPr>
              <w:t>单位</w:t>
            </w:r>
          </w:p>
        </w:tc>
        <w:tc>
          <w:tcPr>
            <w:tcW w:w="68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14:textFill>
                  <w14:solidFill>
                    <w14:schemeClr w14:val="tx1"/>
                  </w14:solidFill>
                </w14:textFill>
              </w:rPr>
              <w:t>招聘</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14:textFill>
                  <w14:solidFill>
                    <w14:schemeClr w14:val="tx1"/>
                  </w14:solidFill>
                </w14:textFill>
              </w:rPr>
              <w:t>岗位</w:t>
            </w:r>
          </w:p>
        </w:tc>
        <w:tc>
          <w:tcPr>
            <w:tcW w:w="44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14:textFill>
                  <w14:solidFill>
                    <w14:schemeClr w14:val="tx1"/>
                  </w14:solidFill>
                </w14:textFill>
              </w:rPr>
              <w:t>人数</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14:textFill>
                  <w14:solidFill>
                    <w14:schemeClr w14:val="tx1"/>
                  </w14:solidFill>
                </w14:textFill>
              </w:rPr>
              <w:t>岗位</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14:textFill>
                  <w14:solidFill>
                    <w14:schemeClr w14:val="tx1"/>
                  </w14:solidFill>
                </w14:textFill>
              </w:rPr>
              <w:t>职责</w:t>
            </w:r>
          </w:p>
        </w:tc>
        <w:tc>
          <w:tcPr>
            <w:tcW w:w="288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14:textFill>
                  <w14:solidFill>
                    <w14:schemeClr w14:val="tx1"/>
                  </w14:solidFill>
                </w14:textFill>
              </w:rPr>
              <w:t>招聘专业及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14:textFill>
                  <w14:solidFill>
                    <w14:schemeClr w14:val="tx1"/>
                  </w14:solidFill>
                </w14:textFill>
              </w:rPr>
              <w:t>学历（学位）要求</w:t>
            </w:r>
          </w:p>
        </w:tc>
        <w:tc>
          <w:tcPr>
            <w:tcW w:w="54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14:textFill>
                  <w14:solidFill>
                    <w14:schemeClr w14:val="tx1"/>
                  </w14:solidFill>
                </w14:textFill>
              </w:rPr>
              <w:t>招聘</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14:textFill>
                  <w14:solidFill>
                    <w14:schemeClr w14:val="tx1"/>
                  </w14:solidFill>
                </w14:textFill>
              </w:rPr>
              <w:t>范围</w:t>
            </w:r>
          </w:p>
        </w:tc>
        <w:tc>
          <w:tcPr>
            <w:tcW w:w="190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14:textFill>
                  <w14:solidFill>
                    <w14:schemeClr w14:val="tx1"/>
                  </w14:solidFill>
                </w14:textFill>
              </w:rPr>
              <w:t>其他资格</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ascii="宋体" w:hAnsi="宋体" w:cs="宋体"/>
                <w:b/>
                <w:color w:val="000000" w:themeColor="text1"/>
                <w:sz w:val="20"/>
                <w14:textFill>
                  <w14:solidFill>
                    <w14:schemeClr w14:val="tx1"/>
                  </w14:solidFill>
                </w14:textFill>
              </w:rPr>
            </w:pPr>
            <w:r>
              <w:rPr>
                <w:rFonts w:hint="eastAsia" w:ascii="宋体" w:hAnsi="宋体" w:cs="宋体"/>
                <w:b/>
                <w:color w:val="000000" w:themeColor="text1"/>
                <w:sz w:val="20"/>
                <w14:textFill>
                  <w14:solidFill>
                    <w14:schemeClr w14:val="tx1"/>
                  </w14:solidFill>
                </w14:textFill>
              </w:rPr>
              <w:t>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6" w:hRule="atLeast"/>
          <w:jc w:val="center"/>
        </w:trPr>
        <w:tc>
          <w:tcPr>
            <w:tcW w:w="1264"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宁波市医疗中心李惠利医院（66名）</w:t>
            </w:r>
          </w:p>
        </w:tc>
        <w:tc>
          <w:tcPr>
            <w:tcW w:w="6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临床</w:t>
            </w:r>
          </w:p>
        </w:tc>
        <w:tc>
          <w:tcPr>
            <w:tcW w:w="4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51</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各科日常诊断、治疗、教学、科研等工作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普外科学、胸外科学、神经外科学、泌尿外科学、耳鼻咽喉头颈外科学、骨外科学、妇产科学、儿科学、麻醉学、血液病学、心血管内科学、神经病学、消化内科学、呼吸内科学、康复医学、危重病学、肾内病学、风湿免疫学、血管外科学、皮肤病与性病学、中医学、感染病学、口腔医学、急诊医学等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研究生学历且硕士及以上学位</w:t>
            </w:r>
          </w:p>
        </w:tc>
        <w:tc>
          <w:tcPr>
            <w:tcW w:w="540"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全国范围</w:t>
            </w:r>
          </w:p>
        </w:tc>
        <w:tc>
          <w:tcPr>
            <w:tcW w:w="1909"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符合下列条件之一：</w:t>
            </w:r>
          </w:p>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1、2024年普通高校应届毕业生；</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2、</w:t>
            </w:r>
            <w:r>
              <w:rPr>
                <w:rFonts w:hint="eastAsia" w:ascii="宋体" w:hAnsi="宋体" w:cs="宋体"/>
                <w:color w:val="000000" w:themeColor="text1"/>
                <w:kern w:val="0"/>
                <w:sz w:val="20"/>
                <w14:textFill>
                  <w14:solidFill>
                    <w14:schemeClr w14:val="tx1"/>
                  </w14:solidFill>
                </w14:textFill>
              </w:rPr>
              <w:t>已取得学历学位的历届生，年龄35周岁以下（其中对博士研究生、拥有正高专业技术任职资格的年龄可放宽至50周岁以下，副高专业技术任职资格的年龄可放宽至45周岁以下）。有副高及以上专业技术任职资格的学历（学位）可放宽至本科（学士）。临床岗位要求已取得执业医师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6" w:hRule="atLeast"/>
          <w:jc w:val="center"/>
        </w:trPr>
        <w:tc>
          <w:tcPr>
            <w:tcW w:w="126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医学影像学、核医学、超声医学</w:t>
            </w:r>
          </w:p>
        </w:tc>
        <w:tc>
          <w:tcPr>
            <w:tcW w:w="4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8</w:t>
            </w:r>
          </w:p>
        </w:tc>
        <w:tc>
          <w:tcPr>
            <w:tcW w:w="1800"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各科日常诊断、教学、科研等工作</w:t>
            </w:r>
          </w:p>
        </w:tc>
        <w:tc>
          <w:tcPr>
            <w:tcW w:w="2880" w:type="dxa"/>
            <w:vAlign w:val="center"/>
          </w:tcPr>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临床医学、影像医学与核医学等专业；</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研究生学历且硕士及以上学位</w:t>
            </w:r>
          </w:p>
        </w:tc>
        <w:tc>
          <w:tcPr>
            <w:tcW w:w="54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1" w:hRule="atLeast"/>
          <w:jc w:val="center"/>
        </w:trPr>
        <w:tc>
          <w:tcPr>
            <w:tcW w:w="126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药学</w:t>
            </w:r>
          </w:p>
        </w:tc>
        <w:tc>
          <w:tcPr>
            <w:tcW w:w="4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1</w:t>
            </w:r>
          </w:p>
        </w:tc>
        <w:tc>
          <w:tcPr>
            <w:tcW w:w="1800"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承担医院药学相关工作</w:t>
            </w:r>
          </w:p>
        </w:tc>
        <w:tc>
          <w:tcPr>
            <w:tcW w:w="2880"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药学相关专业；</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研究生学历且博士学位</w:t>
            </w:r>
          </w:p>
        </w:tc>
        <w:tc>
          <w:tcPr>
            <w:tcW w:w="54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58" w:hRule="atLeast"/>
          <w:jc w:val="center"/>
        </w:trPr>
        <w:tc>
          <w:tcPr>
            <w:tcW w:w="126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科研</w:t>
            </w:r>
          </w:p>
        </w:tc>
        <w:tc>
          <w:tcPr>
            <w:tcW w:w="4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3</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承担医院日常科研等工作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基础医学、生物化学与分子生物学、肿瘤生物信息学等专业；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研究生学历且硕士及以上学位</w:t>
            </w:r>
          </w:p>
        </w:tc>
        <w:tc>
          <w:tcPr>
            <w:tcW w:w="54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bCs/>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护理</w:t>
            </w:r>
          </w:p>
        </w:tc>
        <w:tc>
          <w:tcPr>
            <w:tcW w:w="449"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bCs/>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3</w:t>
            </w:r>
          </w:p>
        </w:tc>
        <w:tc>
          <w:tcPr>
            <w:tcW w:w="1800"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bCs/>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承担医院日常护理、管理工作</w:t>
            </w:r>
          </w:p>
        </w:tc>
        <w:tc>
          <w:tcPr>
            <w:tcW w:w="2880"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护理学专业；</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bCs/>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研究生学历且硕士及以上学位</w:t>
            </w:r>
          </w:p>
        </w:tc>
        <w:tc>
          <w:tcPr>
            <w:tcW w:w="54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宁波大学附属第一医院</w:t>
            </w:r>
          </w:p>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（2</w:t>
            </w:r>
            <w:r>
              <w:rPr>
                <w:rFonts w:hint="eastAsia" w:ascii="宋体" w:hAnsi="宋体" w:cs="宋体"/>
                <w:color w:val="000000" w:themeColor="text1"/>
                <w:kern w:val="0"/>
                <w:sz w:val="20"/>
                <w:lang w:val="en-US" w:eastAsia="zh-CN"/>
                <w14:textFill>
                  <w14:solidFill>
                    <w14:schemeClr w14:val="tx1"/>
                  </w14:solidFill>
                </w14:textFill>
              </w:rPr>
              <w:t>25</w:t>
            </w:r>
            <w:r>
              <w:rPr>
                <w:rFonts w:hint="eastAsia" w:ascii="宋体" w:hAnsi="宋体" w:cs="宋体"/>
                <w:color w:val="000000" w:themeColor="text1"/>
                <w:kern w:val="0"/>
                <w:sz w:val="20"/>
                <w14:textFill>
                  <w14:solidFill>
                    <w14:schemeClr w14:val="tx1"/>
                  </w14:solidFill>
                </w14:textFill>
              </w:rPr>
              <w:t>名）</w:t>
            </w:r>
          </w:p>
        </w:tc>
        <w:tc>
          <w:tcPr>
            <w:tcW w:w="6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临床</w:t>
            </w:r>
          </w:p>
        </w:tc>
        <w:tc>
          <w:tcPr>
            <w:tcW w:w="4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140</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各科日常诊断、治疗、教学、科研等工作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神经外科学、神经病学、血液病学、心血管内科学、内分泌学、肾脏病学、风湿免疫学、呼吸病学、感染病学、消化内科学、重症医学、急诊医学、骨外科学、泌尿外科学、普外科学、心胸外科学、血管外科学、口腔医学、眼科学、耳鼻咽喉头颈外科学、妇产科学、生殖医学、儿科学、中医学、皮肤病与性病学、创伤外科学、老年病学、肿瘤放化疗学、全科医学、</w:t>
            </w:r>
            <w:r>
              <w:rPr>
                <w:rFonts w:hint="eastAsia" w:ascii="宋体" w:hAnsi="宋体" w:cs="宋体"/>
                <w:color w:val="000000" w:themeColor="text1"/>
                <w:kern w:val="0"/>
                <w:sz w:val="20"/>
                <w:lang w:eastAsia="zh-CN"/>
                <w14:textFill>
                  <w14:solidFill>
                    <w14:schemeClr w14:val="tx1"/>
                  </w14:solidFill>
                </w14:textFill>
              </w:rPr>
              <w:t>精神病与精神卫生学、</w:t>
            </w:r>
            <w:r>
              <w:rPr>
                <w:rFonts w:hint="eastAsia" w:ascii="宋体" w:hAnsi="宋体" w:cs="宋体"/>
                <w:color w:val="000000" w:themeColor="text1"/>
                <w:kern w:val="0"/>
                <w:sz w:val="20"/>
                <w14:textFill>
                  <w14:solidFill>
                    <w14:schemeClr w14:val="tx1"/>
                  </w14:solidFill>
                </w14:textFill>
              </w:rPr>
              <w:t>麻醉学专业；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研究生学历且硕士及以上学位</w:t>
            </w:r>
          </w:p>
        </w:tc>
        <w:tc>
          <w:tcPr>
            <w:tcW w:w="540"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全国范围</w:t>
            </w:r>
          </w:p>
        </w:tc>
        <w:tc>
          <w:tcPr>
            <w:tcW w:w="1909"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符合下列条件之一：</w:t>
            </w:r>
          </w:p>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1、2024年普通高校应届毕业生；</w:t>
            </w:r>
          </w:p>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2、</w:t>
            </w:r>
            <w:r>
              <w:rPr>
                <w:rFonts w:hint="eastAsia" w:ascii="宋体" w:hAnsi="宋体" w:cs="宋体"/>
                <w:color w:val="000000" w:themeColor="text1"/>
                <w:kern w:val="0"/>
                <w:sz w:val="20"/>
                <w14:textFill>
                  <w14:solidFill>
                    <w14:schemeClr w14:val="tx1"/>
                  </w14:solidFill>
                </w14:textFill>
              </w:rPr>
              <w:t>已取得学历学位的历届生，年龄35周岁以下（其中对博士研究生、拥有正高专业技术任职资格的年龄可放宽至50周岁以下，副高专业技术任职资格的年龄可放宽至45周岁以下）。有副高及以上专业技术任职资格的学历（学位）可放宽至本科（学士）。临床岗位要求已取得执业医师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0"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检验</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输血</w:t>
            </w:r>
          </w:p>
        </w:tc>
        <w:tc>
          <w:tcPr>
            <w:tcW w:w="4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9</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各科日常诊断、教学、科研等工作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临床检验诊断学专业；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研究生学历且硕士及以上学位</w:t>
            </w:r>
          </w:p>
        </w:tc>
        <w:tc>
          <w:tcPr>
            <w:tcW w:w="54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影像</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核医学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介入</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超声</w:t>
            </w:r>
          </w:p>
        </w:tc>
        <w:tc>
          <w:tcPr>
            <w:tcW w:w="4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29</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各科日常诊断、教学、科研等工作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影像医学与核医学专业；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研究生学历且硕士及以上学位</w:t>
            </w:r>
          </w:p>
        </w:tc>
        <w:tc>
          <w:tcPr>
            <w:tcW w:w="54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药学</w:t>
            </w:r>
          </w:p>
        </w:tc>
        <w:tc>
          <w:tcPr>
            <w:tcW w:w="4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3</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承担医院药学相关工作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药学相关专业；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研究生学历且硕士及以上学位</w:t>
            </w:r>
          </w:p>
        </w:tc>
        <w:tc>
          <w:tcPr>
            <w:tcW w:w="54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科研</w:t>
            </w:r>
          </w:p>
        </w:tc>
        <w:tc>
          <w:tcPr>
            <w:tcW w:w="4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8</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承担医院日常科研等工作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临床医学</w:t>
            </w:r>
            <w:r>
              <w:rPr>
                <w:rFonts w:hint="eastAsia" w:ascii="宋体" w:hAnsi="宋体" w:cs="宋体"/>
                <w:color w:val="000000" w:themeColor="text1"/>
                <w:kern w:val="0"/>
                <w:sz w:val="20"/>
                <w:lang w:eastAsia="zh-CN"/>
                <w14:textFill>
                  <w14:solidFill>
                    <w14:schemeClr w14:val="tx1"/>
                  </w14:solidFill>
                </w14:textFill>
              </w:rPr>
              <w:t>（学术型）</w:t>
            </w:r>
            <w:r>
              <w:rPr>
                <w:rFonts w:hint="eastAsia" w:ascii="宋体" w:hAnsi="宋体" w:cs="宋体"/>
                <w:color w:val="000000" w:themeColor="text1"/>
                <w:kern w:val="0"/>
                <w:sz w:val="20"/>
                <w14:textFill>
                  <w14:solidFill>
                    <w14:schemeClr w14:val="tx1"/>
                  </w14:solidFill>
                </w14:textFill>
              </w:rPr>
              <w:t>、免疫学、干细胞与再生医学、神经生物学</w:t>
            </w:r>
            <w:r>
              <w:rPr>
                <w:rFonts w:hint="eastAsia" w:ascii="宋体" w:hAnsi="宋体" w:cs="宋体"/>
                <w:color w:val="000000" w:themeColor="text1"/>
                <w:kern w:val="0"/>
                <w:sz w:val="20"/>
                <w:lang w:eastAsia="zh-CN"/>
                <w14:textFill>
                  <w14:solidFill>
                    <w14:schemeClr w14:val="tx1"/>
                  </w14:solidFill>
                </w14:textFill>
              </w:rPr>
              <w:t>等</w:t>
            </w:r>
            <w:r>
              <w:rPr>
                <w:rFonts w:hint="eastAsia" w:ascii="宋体" w:hAnsi="宋体" w:cs="宋体"/>
                <w:color w:val="000000" w:themeColor="text1"/>
                <w:kern w:val="0"/>
                <w:sz w:val="20"/>
                <w14:textFill>
                  <w14:solidFill>
                    <w14:schemeClr w14:val="tx1"/>
                  </w14:solidFill>
                </w14:textFill>
              </w:rPr>
              <w:t>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研究生学历且硕士及以上学位</w:t>
            </w:r>
          </w:p>
        </w:tc>
        <w:tc>
          <w:tcPr>
            <w:tcW w:w="54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护理</w:t>
            </w:r>
          </w:p>
        </w:tc>
        <w:tc>
          <w:tcPr>
            <w:tcW w:w="4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10</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承担医院日常护理、管理工作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护理学专业；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研究生学历且硕士及以上学位</w:t>
            </w:r>
          </w:p>
        </w:tc>
        <w:tc>
          <w:tcPr>
            <w:tcW w:w="54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信息</w:t>
            </w:r>
          </w:p>
        </w:tc>
        <w:tc>
          <w:tcPr>
            <w:tcW w:w="4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1</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承担医院信息管理工作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计算机等专业；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研究生学历且硕士及以上学位</w:t>
            </w:r>
          </w:p>
        </w:tc>
        <w:tc>
          <w:tcPr>
            <w:tcW w:w="54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Align w:val="center"/>
          </w:tcPr>
          <w:p>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cs="宋体"/>
                <w:color w:val="000000" w:themeColor="text1"/>
                <w:kern w:val="0"/>
                <w:sz w:val="20"/>
                <w:szCs w:val="22"/>
                <w:lang w:val="en-US" w:eastAsia="zh-CN"/>
                <w14:textFill>
                  <w14:solidFill>
                    <w14:schemeClr w14:val="tx1"/>
                  </w14:solidFill>
                </w14:textFill>
              </w:rPr>
            </w:pPr>
            <w:r>
              <w:rPr>
                <w:rFonts w:hint="eastAsia" w:ascii="宋体" w:hAnsi="宋体" w:cs="宋体"/>
                <w:color w:val="000000" w:themeColor="text1"/>
                <w:kern w:val="0"/>
                <w:sz w:val="20"/>
                <w:szCs w:val="22"/>
                <w:lang w:val="en-US" w:eastAsia="zh-CN"/>
                <w14:textFill>
                  <w14:solidFill>
                    <w14:schemeClr w14:val="tx1"/>
                  </w14:solidFill>
                </w14:textFill>
              </w:rPr>
              <w:t>临床（重症感染）</w:t>
            </w:r>
          </w:p>
          <w:p>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outlineLvl w:val="9"/>
              <w:rPr>
                <w:rFonts w:hint="eastAsia" w:ascii="宋体" w:hAnsi="宋体" w:eastAsia="宋体" w:cs="宋体"/>
                <w:color w:val="000000" w:themeColor="text1"/>
                <w:kern w:val="0"/>
                <w:sz w:val="20"/>
                <w:lang w:val="en-US" w:eastAsia="zh-CN"/>
                <w14:textFill>
                  <w14:solidFill>
                    <w14:schemeClr w14:val="tx1"/>
                  </w14:solidFill>
                </w14:textFill>
              </w:rPr>
            </w:pPr>
            <w:r>
              <w:rPr>
                <w:rFonts w:hint="eastAsia" w:ascii="宋体" w:hAnsi="宋体" w:cs="宋体"/>
                <w:color w:val="000000" w:themeColor="text1"/>
                <w:kern w:val="0"/>
                <w:sz w:val="20"/>
                <w:szCs w:val="22"/>
                <w:lang w:val="en-US" w:eastAsia="zh-CN"/>
                <w14:textFill>
                  <w14:solidFill>
                    <w14:schemeClr w14:val="tx1"/>
                  </w14:solidFill>
                </w14:textFill>
              </w:rPr>
              <w:t>医生</w:t>
            </w:r>
          </w:p>
        </w:tc>
        <w:tc>
          <w:tcPr>
            <w:tcW w:w="449" w:type="dxa"/>
            <w:vAlign w:val="center"/>
          </w:tcPr>
          <w:p>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宋体" w:hAnsi="宋体" w:cs="宋体"/>
                <w:color w:val="000000" w:themeColor="text1"/>
                <w:kern w:val="0"/>
                <w:sz w:val="20"/>
                <w14:textFill>
                  <w14:solidFill>
                    <w14:schemeClr w14:val="tx1"/>
                  </w14:solidFill>
                </w14:textFill>
              </w:rPr>
            </w:pPr>
            <w:r>
              <w:rPr>
                <w:rFonts w:hint="eastAsia" w:ascii="宋体" w:hAnsi="宋体" w:eastAsia="宋体" w:cs="宋体"/>
                <w:sz w:val="20"/>
                <w:szCs w:val="20"/>
                <w:vertAlign w:val="baseline"/>
                <w:lang w:val="en-US" w:eastAsia="zh-CN"/>
              </w:rPr>
              <w:t>15</w:t>
            </w:r>
          </w:p>
        </w:tc>
        <w:tc>
          <w:tcPr>
            <w:tcW w:w="1800" w:type="dxa"/>
            <w:vAlign w:val="center"/>
          </w:tcPr>
          <w:p>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outlineLvl w:val="9"/>
              <w:rPr>
                <w:rFonts w:hint="eastAsia" w:ascii="宋体" w:hAnsi="宋体" w:cs="宋体"/>
                <w:color w:val="000000" w:themeColor="text1"/>
                <w:kern w:val="0"/>
                <w:sz w:val="20"/>
                <w14:textFill>
                  <w14:solidFill>
                    <w14:schemeClr w14:val="tx1"/>
                  </w14:solidFill>
                </w14:textFill>
              </w:rPr>
            </w:pPr>
            <w:r>
              <w:rPr>
                <w:rFonts w:hint="eastAsia" w:ascii="宋体" w:hAnsi="宋体" w:cs="宋体"/>
                <w:sz w:val="20"/>
                <w:szCs w:val="20"/>
                <w:vertAlign w:val="baseline"/>
                <w:lang w:val="en-US" w:eastAsia="zh-CN"/>
              </w:rPr>
              <w:t>承担</w:t>
            </w:r>
            <w:r>
              <w:rPr>
                <w:rFonts w:hint="eastAsia" w:ascii="宋体" w:hAnsi="宋体" w:cs="宋体"/>
                <w:color w:val="000000" w:themeColor="text1"/>
                <w:kern w:val="0"/>
                <w:sz w:val="20"/>
                <w:lang w:val="en-US" w:eastAsia="zh-CN"/>
                <w14:textFill>
                  <w14:solidFill>
                    <w14:schemeClr w14:val="tx1"/>
                  </w14:solidFill>
                </w14:textFill>
              </w:rPr>
              <w:t>公共卫生临床中心</w:t>
            </w:r>
            <w:r>
              <w:rPr>
                <w:rFonts w:hint="eastAsia" w:ascii="宋体" w:hAnsi="宋体" w:eastAsia="宋体" w:cs="宋体"/>
                <w:sz w:val="20"/>
                <w:szCs w:val="20"/>
                <w:vertAlign w:val="baseline"/>
                <w:lang w:val="en-US" w:eastAsia="zh-CN"/>
              </w:rPr>
              <w:t>门诊（含发热门诊）及病区日常诊断、治疗、教学、科研等工作</w:t>
            </w:r>
          </w:p>
        </w:tc>
        <w:tc>
          <w:tcPr>
            <w:tcW w:w="2880" w:type="dxa"/>
            <w:vAlign w:val="center"/>
          </w:tcPr>
          <w:p>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内科学（重症、感染方向）、临床医学相关专业；</w:t>
            </w:r>
          </w:p>
          <w:p>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outlineLvl w:val="9"/>
              <w:rPr>
                <w:rFonts w:hint="eastAsia" w:ascii="宋体" w:hAnsi="宋体" w:cs="宋体"/>
                <w:color w:val="000000" w:themeColor="text1"/>
                <w:kern w:val="0"/>
                <w:sz w:val="20"/>
                <w14:textFill>
                  <w14:solidFill>
                    <w14:schemeClr w14:val="tx1"/>
                  </w14:solidFill>
                </w14:textFill>
              </w:rPr>
            </w:pPr>
            <w:r>
              <w:rPr>
                <w:rFonts w:hint="eastAsia" w:ascii="宋体" w:hAnsi="宋体" w:eastAsia="宋体" w:cs="宋体"/>
                <w:sz w:val="20"/>
                <w:szCs w:val="20"/>
                <w:vertAlign w:val="baseline"/>
                <w:lang w:val="en-US" w:eastAsia="zh-CN"/>
              </w:rPr>
              <w:t>研究生学历且硕士及以上学位</w:t>
            </w:r>
          </w:p>
        </w:tc>
        <w:tc>
          <w:tcPr>
            <w:tcW w:w="54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Align w:val="center"/>
          </w:tcPr>
          <w:p>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内镜</w:t>
            </w:r>
          </w:p>
          <w:p>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医生</w:t>
            </w:r>
          </w:p>
        </w:tc>
        <w:tc>
          <w:tcPr>
            <w:tcW w:w="449" w:type="dxa"/>
            <w:vAlign w:val="center"/>
          </w:tcPr>
          <w:p>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w:t>
            </w:r>
          </w:p>
        </w:tc>
        <w:tc>
          <w:tcPr>
            <w:tcW w:w="1800" w:type="dxa"/>
            <w:vAlign w:val="center"/>
          </w:tcPr>
          <w:p>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cs="宋体"/>
                <w:color w:val="000000" w:themeColor="text1"/>
                <w:kern w:val="0"/>
                <w:sz w:val="20"/>
                <w14:textFill>
                  <w14:solidFill>
                    <w14:schemeClr w14:val="tx1"/>
                  </w14:solidFill>
                </w14:textFill>
              </w:rPr>
              <w:t>承担</w:t>
            </w:r>
            <w:r>
              <w:rPr>
                <w:rFonts w:hint="eastAsia" w:ascii="宋体" w:hAnsi="宋体" w:cs="宋体"/>
                <w:color w:val="000000" w:themeColor="text1"/>
                <w:kern w:val="0"/>
                <w:sz w:val="20"/>
                <w:lang w:val="en-US" w:eastAsia="zh-CN"/>
                <w14:textFill>
                  <w14:solidFill>
                    <w14:schemeClr w14:val="tx1"/>
                  </w14:solidFill>
                </w14:textFill>
              </w:rPr>
              <w:t>公共卫生临床中心</w:t>
            </w:r>
            <w:r>
              <w:rPr>
                <w:rFonts w:hint="eastAsia" w:ascii="宋体" w:hAnsi="宋体" w:eastAsia="宋体" w:cs="宋体"/>
                <w:sz w:val="20"/>
                <w:szCs w:val="20"/>
                <w:vertAlign w:val="baseline"/>
                <w:lang w:val="en-US" w:eastAsia="zh-CN"/>
              </w:rPr>
              <w:t>烈性传染病内镜操作等工作</w:t>
            </w:r>
          </w:p>
        </w:tc>
        <w:tc>
          <w:tcPr>
            <w:tcW w:w="2880" w:type="dxa"/>
            <w:vAlign w:val="center"/>
          </w:tcPr>
          <w:p>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临床医学相关专业；</w:t>
            </w:r>
          </w:p>
          <w:p>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研究生学历且硕士及以上学位</w:t>
            </w:r>
          </w:p>
        </w:tc>
        <w:tc>
          <w:tcPr>
            <w:tcW w:w="54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Align w:val="center"/>
          </w:tcPr>
          <w:p>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超声</w:t>
            </w:r>
          </w:p>
        </w:tc>
        <w:tc>
          <w:tcPr>
            <w:tcW w:w="449" w:type="dxa"/>
            <w:vAlign w:val="center"/>
          </w:tcPr>
          <w:p>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5</w:t>
            </w:r>
          </w:p>
        </w:tc>
        <w:tc>
          <w:tcPr>
            <w:tcW w:w="1800" w:type="dxa"/>
            <w:vAlign w:val="center"/>
          </w:tcPr>
          <w:p>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cs="宋体"/>
                <w:color w:val="000000" w:themeColor="text1"/>
                <w:kern w:val="0"/>
                <w:sz w:val="20"/>
                <w14:textFill>
                  <w14:solidFill>
                    <w14:schemeClr w14:val="tx1"/>
                  </w14:solidFill>
                </w14:textFill>
              </w:rPr>
              <w:t>承担</w:t>
            </w:r>
            <w:r>
              <w:rPr>
                <w:rFonts w:hint="eastAsia" w:ascii="宋体" w:hAnsi="宋体" w:cs="宋体"/>
                <w:color w:val="000000" w:themeColor="text1"/>
                <w:kern w:val="0"/>
                <w:sz w:val="20"/>
                <w:lang w:val="en-US" w:eastAsia="zh-CN"/>
                <w14:textFill>
                  <w14:solidFill>
                    <w14:schemeClr w14:val="tx1"/>
                  </w14:solidFill>
                </w14:textFill>
              </w:rPr>
              <w:t>公共卫生临床中心</w:t>
            </w:r>
            <w:r>
              <w:rPr>
                <w:rFonts w:hint="eastAsia" w:ascii="宋体" w:hAnsi="宋体" w:eastAsia="宋体" w:cs="宋体"/>
                <w:sz w:val="20"/>
                <w:szCs w:val="20"/>
                <w:vertAlign w:val="baseline"/>
                <w:lang w:val="en-US" w:eastAsia="zh-CN"/>
              </w:rPr>
              <w:t>日常诊断、教学、科研等工作</w:t>
            </w:r>
          </w:p>
        </w:tc>
        <w:tc>
          <w:tcPr>
            <w:tcW w:w="2880" w:type="dxa"/>
            <w:vAlign w:val="center"/>
          </w:tcPr>
          <w:p>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影像医学与核医学专业</w:t>
            </w:r>
            <w:r>
              <w:rPr>
                <w:rFonts w:hint="eastAsia" w:ascii="宋体" w:hAnsi="宋体" w:cs="宋体"/>
                <w:sz w:val="20"/>
                <w:szCs w:val="20"/>
                <w:vertAlign w:val="baseline"/>
                <w:lang w:val="en-US" w:eastAsia="zh-CN"/>
              </w:rPr>
              <w:t>；</w:t>
            </w:r>
          </w:p>
          <w:p>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研究生学历且硕士及以上学位</w:t>
            </w:r>
          </w:p>
        </w:tc>
        <w:tc>
          <w:tcPr>
            <w:tcW w:w="54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Align w:val="center"/>
          </w:tcPr>
          <w:p>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公共</w:t>
            </w:r>
          </w:p>
          <w:p>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卫生</w:t>
            </w:r>
          </w:p>
        </w:tc>
        <w:tc>
          <w:tcPr>
            <w:tcW w:w="449" w:type="dxa"/>
            <w:vAlign w:val="center"/>
          </w:tcPr>
          <w:p>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w:t>
            </w:r>
          </w:p>
        </w:tc>
        <w:tc>
          <w:tcPr>
            <w:tcW w:w="1800" w:type="dxa"/>
            <w:vAlign w:val="center"/>
          </w:tcPr>
          <w:p>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承担</w:t>
            </w:r>
            <w:r>
              <w:rPr>
                <w:rFonts w:hint="eastAsia" w:ascii="宋体" w:hAnsi="宋体" w:cs="宋体"/>
                <w:color w:val="000000" w:themeColor="text1"/>
                <w:kern w:val="0"/>
                <w:sz w:val="20"/>
                <w:lang w:val="en-US" w:eastAsia="zh-CN"/>
                <w14:textFill>
                  <w14:solidFill>
                    <w14:schemeClr w14:val="tx1"/>
                  </w14:solidFill>
                </w14:textFill>
              </w:rPr>
              <w:t>公共卫生临床中心</w:t>
            </w:r>
            <w:r>
              <w:rPr>
                <w:rFonts w:hint="eastAsia" w:ascii="宋体" w:hAnsi="宋体" w:eastAsia="宋体" w:cs="宋体"/>
                <w:sz w:val="20"/>
                <w:szCs w:val="20"/>
                <w:vertAlign w:val="baseline"/>
                <w:lang w:val="en-US" w:eastAsia="zh-CN"/>
              </w:rPr>
              <w:t>公共卫生工作</w:t>
            </w:r>
          </w:p>
        </w:tc>
        <w:tc>
          <w:tcPr>
            <w:tcW w:w="2880" w:type="dxa"/>
            <w:vAlign w:val="center"/>
          </w:tcPr>
          <w:p>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公共卫生</w:t>
            </w:r>
            <w:r>
              <w:rPr>
                <w:rFonts w:hint="eastAsia" w:ascii="宋体" w:hAnsi="宋体" w:cs="宋体"/>
                <w:sz w:val="20"/>
                <w:szCs w:val="20"/>
                <w:vertAlign w:val="baseline"/>
                <w:lang w:val="en-US" w:eastAsia="zh-CN"/>
              </w:rPr>
              <w:t>相关</w:t>
            </w:r>
            <w:r>
              <w:rPr>
                <w:rFonts w:hint="eastAsia" w:ascii="宋体" w:hAnsi="宋体" w:eastAsia="宋体" w:cs="宋体"/>
                <w:sz w:val="20"/>
                <w:szCs w:val="20"/>
                <w:vertAlign w:val="baseline"/>
                <w:lang w:val="en-US" w:eastAsia="zh-CN"/>
              </w:rPr>
              <w:t>专业；</w:t>
            </w:r>
          </w:p>
          <w:p>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研究生学历且博士学位</w:t>
            </w:r>
          </w:p>
        </w:tc>
        <w:tc>
          <w:tcPr>
            <w:tcW w:w="54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Align w:val="center"/>
          </w:tcPr>
          <w:p>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宋体" w:hAnsi="宋体" w:cs="宋体"/>
                <w:sz w:val="20"/>
                <w:szCs w:val="20"/>
                <w:vertAlign w:val="baseline"/>
                <w:lang w:val="en-US" w:eastAsia="zh-CN"/>
              </w:rPr>
            </w:pPr>
            <w:r>
              <w:rPr>
                <w:rFonts w:hint="eastAsia" w:ascii="宋体" w:hAnsi="宋体" w:cs="宋体"/>
                <w:sz w:val="20"/>
                <w:szCs w:val="20"/>
                <w:vertAlign w:val="baseline"/>
                <w:lang w:val="en-US" w:eastAsia="zh-CN"/>
              </w:rPr>
              <w:t>行政</w:t>
            </w:r>
          </w:p>
          <w:p>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管理</w:t>
            </w:r>
          </w:p>
        </w:tc>
        <w:tc>
          <w:tcPr>
            <w:tcW w:w="449" w:type="dxa"/>
            <w:vAlign w:val="center"/>
          </w:tcPr>
          <w:p>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w:t>
            </w:r>
          </w:p>
        </w:tc>
        <w:tc>
          <w:tcPr>
            <w:tcW w:w="1800" w:type="dxa"/>
            <w:vAlign w:val="center"/>
          </w:tcPr>
          <w:p>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承担</w:t>
            </w:r>
            <w:r>
              <w:rPr>
                <w:rFonts w:hint="eastAsia" w:ascii="宋体" w:hAnsi="宋体" w:cs="宋体"/>
                <w:color w:val="000000" w:themeColor="text1"/>
                <w:kern w:val="0"/>
                <w:sz w:val="20"/>
                <w:lang w:val="en-US" w:eastAsia="zh-CN"/>
                <w14:textFill>
                  <w14:solidFill>
                    <w14:schemeClr w14:val="tx1"/>
                  </w14:solidFill>
                </w14:textFill>
              </w:rPr>
              <w:t>公共卫生临床中心</w:t>
            </w:r>
            <w:r>
              <w:rPr>
                <w:rFonts w:hint="eastAsia" w:ascii="宋体" w:hAnsi="宋体" w:eastAsia="宋体" w:cs="宋体"/>
                <w:sz w:val="20"/>
                <w:szCs w:val="20"/>
                <w:vertAlign w:val="baseline"/>
                <w:lang w:val="en-US" w:eastAsia="zh-CN"/>
              </w:rPr>
              <w:t>行政管理工作</w:t>
            </w:r>
          </w:p>
        </w:tc>
        <w:tc>
          <w:tcPr>
            <w:tcW w:w="2880" w:type="dxa"/>
            <w:vAlign w:val="center"/>
          </w:tcPr>
          <w:p>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医院管理</w:t>
            </w:r>
            <w:r>
              <w:rPr>
                <w:rFonts w:hint="eastAsia" w:ascii="宋体" w:hAnsi="宋体" w:cs="宋体"/>
                <w:sz w:val="20"/>
                <w:szCs w:val="20"/>
                <w:vertAlign w:val="baseline"/>
                <w:lang w:val="en-US" w:eastAsia="zh-CN"/>
              </w:rPr>
              <w:t>相关</w:t>
            </w:r>
            <w:r>
              <w:rPr>
                <w:rFonts w:hint="eastAsia" w:ascii="宋体" w:hAnsi="宋体" w:eastAsia="宋体" w:cs="宋体"/>
                <w:sz w:val="20"/>
                <w:szCs w:val="20"/>
                <w:vertAlign w:val="baseline"/>
                <w:lang w:val="en-US" w:eastAsia="zh-CN"/>
              </w:rPr>
              <w:t>专业；</w:t>
            </w:r>
          </w:p>
          <w:p>
            <w:pPr>
              <w:pStyle w:val="1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outlineLvl w:val="9"/>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研究生学历且硕士及以上学位</w:t>
            </w:r>
          </w:p>
        </w:tc>
        <w:tc>
          <w:tcPr>
            <w:tcW w:w="54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1264"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宁波市第二</w:t>
            </w:r>
          </w:p>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医院</w:t>
            </w:r>
          </w:p>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（115名）</w:t>
            </w:r>
          </w:p>
        </w:tc>
        <w:tc>
          <w:tcPr>
            <w:tcW w:w="68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kern w:val="0"/>
                <w:sz w:val="20"/>
                <w:lang w:bidi="ar"/>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临床1</w:t>
            </w:r>
          </w:p>
        </w:tc>
        <w:tc>
          <w:tcPr>
            <w:tcW w:w="449"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lang w:bidi="ar"/>
                <w14:textFill>
                  <w14:solidFill>
                    <w14:schemeClr w14:val="tx1"/>
                  </w14:solidFill>
                </w14:textFill>
              </w:rPr>
            </w:pPr>
            <w:r>
              <w:rPr>
                <w:rFonts w:hint="eastAsia" w:ascii="宋体" w:hAnsi="宋体" w:cs="宋体"/>
                <w:color w:val="000000" w:themeColor="text1"/>
                <w:sz w:val="20"/>
                <w14:textFill>
                  <w14:solidFill>
                    <w14:schemeClr w14:val="tx1"/>
                  </w14:solidFill>
                </w14:textFill>
              </w:rPr>
              <w:t>40</w:t>
            </w:r>
          </w:p>
        </w:tc>
        <w:tc>
          <w:tcPr>
            <w:tcW w:w="1800" w:type="dxa"/>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各科日常诊断、治疗、教学、科研等工作</w:t>
            </w:r>
          </w:p>
        </w:tc>
        <w:tc>
          <w:tcPr>
            <w:tcW w:w="2880" w:type="dxa"/>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心血管病学、神经病学、消化病学、呼吸病学、肾脏病学、神经病学、肿瘤学、骨科学、普外科学、心胸外科学、泌尿外科学、血管外科学、神经外科学、妇产科学、皮肤病与性病学、风湿免疫学、影像医学与核医学、超声医学、口腔医学、眼科学、耳鼻咽喉头颈外科学、传染病学、感染病学、麻醉学、急诊医学、重症医学等临床专业；</w:t>
            </w:r>
          </w:p>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研究生学历且博士学位</w:t>
            </w:r>
          </w:p>
        </w:tc>
        <w:tc>
          <w:tcPr>
            <w:tcW w:w="540"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全国范围</w:t>
            </w:r>
          </w:p>
        </w:tc>
        <w:tc>
          <w:tcPr>
            <w:tcW w:w="1909"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符合下列条件之一：</w:t>
            </w:r>
          </w:p>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1、2024年普通高校应届毕业生；</w:t>
            </w:r>
          </w:p>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2、</w:t>
            </w:r>
            <w:r>
              <w:rPr>
                <w:rFonts w:hint="eastAsia" w:ascii="宋体" w:hAnsi="宋体" w:cs="宋体"/>
                <w:color w:val="000000" w:themeColor="text1"/>
                <w:kern w:val="0"/>
                <w:sz w:val="20"/>
                <w14:textFill>
                  <w14:solidFill>
                    <w14:schemeClr w14:val="tx1"/>
                  </w14:solidFill>
                </w14:textFill>
              </w:rPr>
              <w:t>已取得学历学位的历届生，年龄35周岁以下（其中对博士研究生、拥有正高专业技术任职资格的年龄可放宽至50周岁以下，副高专业技术任职资格的年龄可放宽至45周岁以下）。有副高及以上专业技术任职资格的学历（学位）可放宽至本科（学士）。临床岗位要求已取得执业医师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kern w:val="0"/>
                <w:sz w:val="20"/>
                <w:lang w:bidi="ar"/>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临床2</w:t>
            </w:r>
          </w:p>
        </w:tc>
        <w:tc>
          <w:tcPr>
            <w:tcW w:w="449"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lang w:bidi="ar"/>
                <w14:textFill>
                  <w14:solidFill>
                    <w14:schemeClr w14:val="tx1"/>
                  </w14:solidFill>
                </w14:textFill>
              </w:rPr>
            </w:pPr>
            <w:r>
              <w:rPr>
                <w:rFonts w:hint="eastAsia" w:ascii="宋体" w:hAnsi="宋体" w:cs="宋体"/>
                <w:color w:val="000000" w:themeColor="text1"/>
                <w:sz w:val="20"/>
                <w14:textFill>
                  <w14:solidFill>
                    <w14:schemeClr w14:val="tx1"/>
                  </w14:solidFill>
                </w14:textFill>
              </w:rPr>
              <w:t>40</w:t>
            </w:r>
          </w:p>
        </w:tc>
        <w:tc>
          <w:tcPr>
            <w:tcW w:w="1800" w:type="dxa"/>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各科日常诊断、治疗、教学、科研等工作</w:t>
            </w:r>
          </w:p>
        </w:tc>
        <w:tc>
          <w:tcPr>
            <w:tcW w:w="2880" w:type="dxa"/>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普外科学、乳腺外科学、神经外科学、胸外科、心脏外科学、泌尿外科学、妇产科学、骨科学、足踝外科、麻醉学、疼痛学、肾脏病学、肿瘤学、神经病学、传染病学（肝病方向）、感染病学、心血管病学、风湿免疫学、急诊医学等临床专业；</w:t>
            </w:r>
          </w:p>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研究生学历且硕士及以上学位</w:t>
            </w:r>
          </w:p>
        </w:tc>
        <w:tc>
          <w:tcPr>
            <w:tcW w:w="54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Merge w:val="restart"/>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bCs/>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科研</w:t>
            </w:r>
          </w:p>
        </w:tc>
        <w:tc>
          <w:tcPr>
            <w:tcW w:w="449"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color w:val="000000" w:themeColor="text1"/>
                <w:sz w:val="20"/>
                <w:szCs w:val="20"/>
                <w:lang w:bidi="ar"/>
                <w14:textFill>
                  <w14:solidFill>
                    <w14:schemeClr w14:val="tx1"/>
                  </w14:solidFill>
                </w14:textFill>
              </w:rPr>
            </w:pPr>
            <w:r>
              <w:rPr>
                <w:rFonts w:hint="eastAsia"/>
                <w:color w:val="000000" w:themeColor="text1"/>
                <w:sz w:val="20"/>
                <w:szCs w:val="20"/>
                <w14:textFill>
                  <w14:solidFill>
                    <w14:schemeClr w14:val="tx1"/>
                  </w14:solidFill>
                </w14:textFill>
              </w:rPr>
              <w:t>3</w:t>
            </w:r>
          </w:p>
        </w:tc>
        <w:tc>
          <w:tcPr>
            <w:tcW w:w="1800"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承担医院日常科研等工作</w:t>
            </w:r>
          </w:p>
        </w:tc>
        <w:tc>
          <w:tcPr>
            <w:tcW w:w="2880" w:type="dxa"/>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分子生物学、细胞生物学、组织工程类、人工智能等相关等专业；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研究生学历且博士学位</w:t>
            </w:r>
          </w:p>
        </w:tc>
        <w:tc>
          <w:tcPr>
            <w:tcW w:w="54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Merge w:val="continue"/>
            <w:vAlign w:val="center"/>
          </w:tcPr>
          <w:p>
            <w:pPr>
              <w:keepNext w:val="0"/>
              <w:keepLines w:val="0"/>
              <w:pageBreakBefore w:val="0"/>
              <w:kinsoku/>
              <w:wordWrap/>
              <w:overflowPunct/>
              <w:topLinePunct w:val="0"/>
              <w:autoSpaceDE/>
              <w:autoSpaceDN/>
              <w:bidi w:val="0"/>
              <w:adjustRightInd/>
              <w:snapToGrid/>
              <w:spacing w:line="240" w:lineRule="exact"/>
              <w:ind w:firstLine="100" w:firstLineChars="50"/>
              <w:jc w:val="center"/>
              <w:textAlignment w:val="auto"/>
              <w:outlineLvl w:val="9"/>
              <w:rPr>
                <w:rFonts w:ascii="宋体" w:hAnsi="宋体" w:cs="宋体"/>
                <w:bCs/>
                <w:color w:val="000000" w:themeColor="text1"/>
                <w:sz w:val="20"/>
                <w14:textFill>
                  <w14:solidFill>
                    <w14:schemeClr w14:val="tx1"/>
                  </w14:solidFill>
                </w14:textFill>
              </w:rPr>
            </w:pPr>
          </w:p>
        </w:tc>
        <w:tc>
          <w:tcPr>
            <w:tcW w:w="449"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color w:val="000000" w:themeColor="text1"/>
                <w:sz w:val="20"/>
                <w:szCs w:val="20"/>
                <w:lang w:bidi="ar"/>
                <w14:textFill>
                  <w14:solidFill>
                    <w14:schemeClr w14:val="tx1"/>
                  </w14:solidFill>
                </w14:textFill>
              </w:rPr>
            </w:pPr>
            <w:r>
              <w:rPr>
                <w:rFonts w:hint="eastAsia"/>
                <w:color w:val="000000" w:themeColor="text1"/>
                <w:sz w:val="20"/>
                <w:szCs w:val="20"/>
                <w14:textFill>
                  <w14:solidFill>
                    <w14:schemeClr w14:val="tx1"/>
                  </w14:solidFill>
                </w14:textFill>
              </w:rPr>
              <w:t>2</w:t>
            </w:r>
          </w:p>
        </w:tc>
        <w:tc>
          <w:tcPr>
            <w:tcW w:w="180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p>
        </w:tc>
        <w:tc>
          <w:tcPr>
            <w:tcW w:w="2880" w:type="dxa"/>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生物医学、分子生物学、细胞生物学、人工智能等相关专业；</w:t>
            </w:r>
          </w:p>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研究生学历且硕士学位</w:t>
            </w:r>
          </w:p>
        </w:tc>
        <w:tc>
          <w:tcPr>
            <w:tcW w:w="54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放射</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超声</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bCs/>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介入</w:t>
            </w:r>
          </w:p>
        </w:tc>
        <w:tc>
          <w:tcPr>
            <w:tcW w:w="449"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color w:val="000000" w:themeColor="text1"/>
                <w:sz w:val="20"/>
                <w:szCs w:val="20"/>
                <w:lang w:bidi="ar"/>
                <w14:textFill>
                  <w14:solidFill>
                    <w14:schemeClr w14:val="tx1"/>
                  </w14:solidFill>
                </w14:textFill>
              </w:rPr>
            </w:pPr>
            <w:r>
              <w:rPr>
                <w:rFonts w:hint="eastAsia"/>
                <w:color w:val="000000" w:themeColor="text1"/>
                <w:sz w:val="20"/>
                <w:szCs w:val="20"/>
                <w14:textFill>
                  <w14:solidFill>
                    <w14:schemeClr w14:val="tx1"/>
                  </w14:solidFill>
                </w14:textFill>
              </w:rPr>
              <w:t>10</w:t>
            </w:r>
          </w:p>
        </w:tc>
        <w:tc>
          <w:tcPr>
            <w:tcW w:w="1800"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各科日常诊断、教学、科研等工作</w:t>
            </w:r>
          </w:p>
        </w:tc>
        <w:tc>
          <w:tcPr>
            <w:tcW w:w="2880"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影像医学与核医学专业；</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研究生学历且硕士学位</w:t>
            </w:r>
          </w:p>
        </w:tc>
        <w:tc>
          <w:tcPr>
            <w:tcW w:w="54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检验</w:t>
            </w:r>
          </w:p>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输血</w:t>
            </w:r>
          </w:p>
        </w:tc>
        <w:tc>
          <w:tcPr>
            <w:tcW w:w="449"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lang w:bidi="ar"/>
                <w14:textFill>
                  <w14:solidFill>
                    <w14:schemeClr w14:val="tx1"/>
                  </w14:solidFill>
                </w14:textFill>
              </w:rPr>
            </w:pPr>
            <w:r>
              <w:rPr>
                <w:rFonts w:hint="eastAsia" w:ascii="宋体" w:hAnsi="宋体" w:cs="宋体"/>
                <w:color w:val="000000" w:themeColor="text1"/>
                <w:sz w:val="20"/>
                <w14:textFill>
                  <w14:solidFill>
                    <w14:schemeClr w14:val="tx1"/>
                  </w14:solidFill>
                </w14:textFill>
              </w:rPr>
              <w:t>2</w:t>
            </w:r>
          </w:p>
        </w:tc>
        <w:tc>
          <w:tcPr>
            <w:tcW w:w="1800"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各科日常诊断、教学、科研等工作</w:t>
            </w:r>
          </w:p>
        </w:tc>
        <w:tc>
          <w:tcPr>
            <w:tcW w:w="2880" w:type="dxa"/>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临床检验诊断学、免疫学、病原微生物学等相关专业；</w:t>
            </w:r>
          </w:p>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研究生学历且博士学位</w:t>
            </w:r>
          </w:p>
        </w:tc>
        <w:tc>
          <w:tcPr>
            <w:tcW w:w="54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449"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lang w:bidi="ar"/>
                <w14:textFill>
                  <w14:solidFill>
                    <w14:schemeClr w14:val="tx1"/>
                  </w14:solidFill>
                </w14:textFill>
              </w:rPr>
            </w:pPr>
            <w:r>
              <w:rPr>
                <w:rFonts w:hint="eastAsia" w:ascii="宋体" w:hAnsi="宋体" w:cs="宋体"/>
                <w:color w:val="000000" w:themeColor="text1"/>
                <w:sz w:val="20"/>
                <w14:textFill>
                  <w14:solidFill>
                    <w14:schemeClr w14:val="tx1"/>
                  </w14:solidFill>
                </w14:textFill>
              </w:rPr>
              <w:t>3</w:t>
            </w:r>
          </w:p>
        </w:tc>
        <w:tc>
          <w:tcPr>
            <w:tcW w:w="180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p>
        </w:tc>
        <w:tc>
          <w:tcPr>
            <w:tcW w:w="2880" w:type="dxa"/>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临床检验诊断学等相关专业；</w:t>
            </w:r>
          </w:p>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研究生学历且硕士学位</w:t>
            </w:r>
          </w:p>
        </w:tc>
        <w:tc>
          <w:tcPr>
            <w:tcW w:w="54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护理</w:t>
            </w:r>
          </w:p>
        </w:tc>
        <w:tc>
          <w:tcPr>
            <w:tcW w:w="449"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lang w:bidi="ar"/>
                <w14:textFill>
                  <w14:solidFill>
                    <w14:schemeClr w14:val="tx1"/>
                  </w14:solidFill>
                </w14:textFill>
              </w:rPr>
            </w:pPr>
            <w:r>
              <w:rPr>
                <w:rFonts w:hint="eastAsia" w:ascii="宋体" w:hAnsi="宋体" w:cs="宋体"/>
                <w:color w:val="000000" w:themeColor="text1"/>
                <w:sz w:val="20"/>
                <w14:textFill>
                  <w14:solidFill>
                    <w14:schemeClr w14:val="tx1"/>
                  </w14:solidFill>
                </w14:textFill>
              </w:rPr>
              <w:t>2</w:t>
            </w:r>
          </w:p>
        </w:tc>
        <w:tc>
          <w:tcPr>
            <w:tcW w:w="1800"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sz w:val="20"/>
                <w14:textFill>
                  <w14:solidFill>
                    <w14:schemeClr w14:val="tx1"/>
                  </w14:solidFill>
                </w14:textFill>
              </w:rPr>
              <w:t>承担医院日常护理、管理工作</w:t>
            </w:r>
          </w:p>
        </w:tc>
        <w:tc>
          <w:tcPr>
            <w:tcW w:w="2880" w:type="dxa"/>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护理学专业；</w:t>
            </w:r>
          </w:p>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研究生学历且博士学位</w:t>
            </w:r>
          </w:p>
        </w:tc>
        <w:tc>
          <w:tcPr>
            <w:tcW w:w="54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449"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lang w:bidi="ar"/>
                <w14:textFill>
                  <w14:solidFill>
                    <w14:schemeClr w14:val="tx1"/>
                  </w14:solidFill>
                </w14:textFill>
              </w:rPr>
            </w:pPr>
            <w:r>
              <w:rPr>
                <w:rFonts w:hint="eastAsia" w:ascii="宋体" w:hAnsi="宋体" w:cs="宋体"/>
                <w:color w:val="000000" w:themeColor="text1"/>
                <w:sz w:val="20"/>
                <w14:textFill>
                  <w14:solidFill>
                    <w14:schemeClr w14:val="tx1"/>
                  </w14:solidFill>
                </w14:textFill>
              </w:rPr>
              <w:t>5</w:t>
            </w:r>
          </w:p>
        </w:tc>
        <w:tc>
          <w:tcPr>
            <w:tcW w:w="180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p>
        </w:tc>
        <w:tc>
          <w:tcPr>
            <w:tcW w:w="2880" w:type="dxa"/>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护理学专业；</w:t>
            </w:r>
          </w:p>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研究生学历且硕士学位</w:t>
            </w:r>
          </w:p>
        </w:tc>
        <w:tc>
          <w:tcPr>
            <w:tcW w:w="54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kern w:val="0"/>
                <w:sz w:val="20"/>
                <w14:textFill>
                  <w14:solidFill>
                    <w14:schemeClr w14:val="tx1"/>
                  </w14:solidFill>
                </w14:textFill>
              </w:rPr>
              <w:t>药学</w:t>
            </w:r>
          </w:p>
        </w:tc>
        <w:tc>
          <w:tcPr>
            <w:tcW w:w="449" w:type="dxa"/>
            <w:vAlign w:val="center"/>
          </w:tcPr>
          <w:p>
            <w:pPr>
              <w:keepNext w:val="0"/>
              <w:keepLines w:val="0"/>
              <w:pageBreakBefore w:val="0"/>
              <w:kinsoku/>
              <w:wordWrap/>
              <w:overflowPunct/>
              <w:topLinePunct w:val="0"/>
              <w:autoSpaceDE/>
              <w:autoSpaceDN/>
              <w:bidi w:val="0"/>
              <w:adjustRightInd/>
              <w:snapToGrid/>
              <w:spacing w:line="240" w:lineRule="exact"/>
              <w:ind w:firstLine="100" w:firstLineChars="50"/>
              <w:jc w:val="center"/>
              <w:textAlignment w:val="auto"/>
              <w:outlineLvl w:val="9"/>
              <w:rPr>
                <w:rFonts w:ascii="宋体" w:hAnsi="宋体" w:cs="宋体"/>
                <w:color w:val="000000" w:themeColor="text1"/>
                <w:kern w:val="0"/>
                <w:sz w:val="20"/>
                <w:lang w:bidi="ar"/>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1</w:t>
            </w:r>
          </w:p>
        </w:tc>
        <w:tc>
          <w:tcPr>
            <w:tcW w:w="1800"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承担医院药学相关工作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药学等相关专业；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研究生学历且博士学位</w:t>
            </w:r>
          </w:p>
        </w:tc>
        <w:tc>
          <w:tcPr>
            <w:tcW w:w="54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449" w:type="dxa"/>
            <w:vAlign w:val="center"/>
          </w:tcPr>
          <w:p>
            <w:pPr>
              <w:keepNext w:val="0"/>
              <w:keepLines w:val="0"/>
              <w:pageBreakBefore w:val="0"/>
              <w:kinsoku/>
              <w:wordWrap/>
              <w:overflowPunct/>
              <w:topLinePunct w:val="0"/>
              <w:autoSpaceDE/>
              <w:autoSpaceDN/>
              <w:bidi w:val="0"/>
              <w:adjustRightInd/>
              <w:snapToGrid/>
              <w:spacing w:line="240" w:lineRule="exact"/>
              <w:ind w:firstLine="100" w:firstLineChars="50"/>
              <w:jc w:val="center"/>
              <w:textAlignment w:val="auto"/>
              <w:outlineLvl w:val="9"/>
              <w:rPr>
                <w:rFonts w:ascii="宋体" w:hAnsi="宋体" w:cs="宋体"/>
                <w:color w:val="000000" w:themeColor="text1"/>
                <w:kern w:val="0"/>
                <w:sz w:val="20"/>
                <w:lang w:bidi="ar"/>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2</w:t>
            </w:r>
          </w:p>
        </w:tc>
        <w:tc>
          <w:tcPr>
            <w:tcW w:w="180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药学等相关专业；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研究生学历且硕士学位</w:t>
            </w:r>
          </w:p>
        </w:tc>
        <w:tc>
          <w:tcPr>
            <w:tcW w:w="54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kern w:val="0"/>
                <w:sz w:val="20"/>
                <w:lang w:bidi="ar"/>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病案</w:t>
            </w:r>
          </w:p>
        </w:tc>
        <w:tc>
          <w:tcPr>
            <w:tcW w:w="449" w:type="dxa"/>
            <w:vAlign w:val="center"/>
          </w:tcPr>
          <w:p>
            <w:pPr>
              <w:keepNext w:val="0"/>
              <w:keepLines w:val="0"/>
              <w:pageBreakBefore w:val="0"/>
              <w:kinsoku/>
              <w:wordWrap/>
              <w:overflowPunct/>
              <w:topLinePunct w:val="0"/>
              <w:autoSpaceDE/>
              <w:autoSpaceDN/>
              <w:bidi w:val="0"/>
              <w:adjustRightInd/>
              <w:snapToGrid/>
              <w:spacing w:line="240" w:lineRule="exact"/>
              <w:ind w:firstLine="200" w:firstLineChars="100"/>
              <w:textAlignment w:val="auto"/>
              <w:outlineLvl w:val="9"/>
              <w:rPr>
                <w:rFonts w:ascii="宋体" w:hAnsi="宋体" w:cs="宋体"/>
                <w:color w:val="000000" w:themeColor="text1"/>
                <w:kern w:val="0"/>
                <w:sz w:val="20"/>
                <w:lang w:bidi="ar"/>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2</w:t>
            </w:r>
          </w:p>
        </w:tc>
        <w:tc>
          <w:tcPr>
            <w:tcW w:w="1800" w:type="dxa"/>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承担医院病案统计、数据分析相关工作</w:t>
            </w:r>
          </w:p>
        </w:tc>
        <w:tc>
          <w:tcPr>
            <w:tcW w:w="2880" w:type="dxa"/>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流行病与卫生统计学、医学统计等专业；</w:t>
            </w:r>
          </w:p>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研究生学历且硕士及以上学位</w:t>
            </w:r>
          </w:p>
        </w:tc>
        <w:tc>
          <w:tcPr>
            <w:tcW w:w="54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康复</w:t>
            </w:r>
          </w:p>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kern w:val="0"/>
                <w:sz w:val="20"/>
                <w:lang w:bidi="ar"/>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治疗</w:t>
            </w:r>
          </w:p>
        </w:tc>
        <w:tc>
          <w:tcPr>
            <w:tcW w:w="449" w:type="dxa"/>
            <w:vAlign w:val="center"/>
          </w:tcPr>
          <w:p>
            <w:pPr>
              <w:keepNext w:val="0"/>
              <w:keepLines w:val="0"/>
              <w:pageBreakBefore w:val="0"/>
              <w:kinsoku/>
              <w:wordWrap/>
              <w:overflowPunct/>
              <w:topLinePunct w:val="0"/>
              <w:autoSpaceDE/>
              <w:autoSpaceDN/>
              <w:bidi w:val="0"/>
              <w:adjustRightInd/>
              <w:snapToGrid/>
              <w:spacing w:line="240" w:lineRule="exact"/>
              <w:ind w:firstLine="100" w:firstLineChars="50"/>
              <w:jc w:val="center"/>
              <w:textAlignment w:val="auto"/>
              <w:outlineLvl w:val="9"/>
              <w:rPr>
                <w:rFonts w:ascii="宋体" w:hAnsi="宋体" w:cs="宋体"/>
                <w:color w:val="000000" w:themeColor="text1"/>
                <w:kern w:val="0"/>
                <w:sz w:val="20"/>
                <w:lang w:bidi="ar"/>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1</w:t>
            </w:r>
          </w:p>
        </w:tc>
        <w:tc>
          <w:tcPr>
            <w:tcW w:w="1800" w:type="dxa"/>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承担医院康复治疗相关工作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康复治疗、运动康复等相关专业；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研究生学历且硕士学位</w:t>
            </w:r>
          </w:p>
        </w:tc>
        <w:tc>
          <w:tcPr>
            <w:tcW w:w="54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临床</w:t>
            </w:r>
          </w:p>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营养</w:t>
            </w:r>
          </w:p>
        </w:tc>
        <w:tc>
          <w:tcPr>
            <w:tcW w:w="449" w:type="dxa"/>
            <w:vAlign w:val="center"/>
          </w:tcPr>
          <w:p>
            <w:pPr>
              <w:keepNext w:val="0"/>
              <w:keepLines w:val="0"/>
              <w:pageBreakBefore w:val="0"/>
              <w:kinsoku/>
              <w:wordWrap/>
              <w:overflowPunct/>
              <w:topLinePunct w:val="0"/>
              <w:autoSpaceDE/>
              <w:autoSpaceDN/>
              <w:bidi w:val="0"/>
              <w:adjustRightInd/>
              <w:snapToGrid/>
              <w:spacing w:line="240" w:lineRule="exact"/>
              <w:ind w:firstLine="100" w:firstLineChars="50"/>
              <w:jc w:val="center"/>
              <w:textAlignment w:val="auto"/>
              <w:outlineLvl w:val="9"/>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1</w:t>
            </w:r>
          </w:p>
        </w:tc>
        <w:tc>
          <w:tcPr>
            <w:tcW w:w="1800"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承担医院临床营养相关工作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流行病与卫生统计学、临床医学等相关专业；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研究生学历且博士学位</w:t>
            </w:r>
          </w:p>
        </w:tc>
        <w:tc>
          <w:tcPr>
            <w:tcW w:w="54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hAnsi="宋体" w:cs="宋体"/>
                <w:color w:val="000000" w:themeColor="text1"/>
                <w:kern w:val="0"/>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449" w:type="dxa"/>
            <w:vAlign w:val="center"/>
          </w:tcPr>
          <w:p>
            <w:pPr>
              <w:keepNext w:val="0"/>
              <w:keepLines w:val="0"/>
              <w:pageBreakBefore w:val="0"/>
              <w:kinsoku/>
              <w:wordWrap/>
              <w:overflowPunct/>
              <w:topLinePunct w:val="0"/>
              <w:autoSpaceDE/>
              <w:autoSpaceDN/>
              <w:bidi w:val="0"/>
              <w:adjustRightInd/>
              <w:snapToGrid/>
              <w:spacing w:line="240" w:lineRule="exact"/>
              <w:ind w:firstLine="100" w:firstLineChars="50"/>
              <w:jc w:val="center"/>
              <w:textAlignment w:val="auto"/>
              <w:outlineLvl w:val="9"/>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1</w:t>
            </w:r>
          </w:p>
        </w:tc>
        <w:tc>
          <w:tcPr>
            <w:tcW w:w="180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sz w:val="20"/>
                <w14:textFill>
                  <w14:solidFill>
                    <w14:schemeClr w14:val="tx1"/>
                  </w14:solidFill>
                </w14:textFill>
              </w:rPr>
            </w:pP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临床医学、营养学等相关专业；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研究生学历且硕士学位</w:t>
            </w:r>
          </w:p>
        </w:tc>
        <w:tc>
          <w:tcPr>
            <w:tcW w:w="54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hAnsi="宋体" w:cs="宋体"/>
                <w:color w:val="000000" w:themeColor="text1"/>
                <w:kern w:val="0"/>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restart"/>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宁波市妇女</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儿童医院</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bCs/>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（48名）</w:t>
            </w:r>
          </w:p>
        </w:tc>
        <w:tc>
          <w:tcPr>
            <w:tcW w:w="686"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rFonts w:hint="eastAsia" w:eastAsia="宋体"/>
                <w:color w:val="000000" w:themeColor="text1"/>
                <w:sz w:val="20"/>
                <w:szCs w:val="20"/>
                <w:lang w:val="en-US" w:eastAsia="zh-CN" w:bidi="ar"/>
                <w14:textFill>
                  <w14:solidFill>
                    <w14:schemeClr w14:val="tx1"/>
                  </w14:solidFill>
                </w14:textFill>
              </w:rPr>
            </w:pPr>
            <w:r>
              <w:rPr>
                <w:rFonts w:hint="eastAsia"/>
                <w:sz w:val="20"/>
                <w:szCs w:val="20"/>
              </w:rPr>
              <w:t>临床</w:t>
            </w:r>
            <w:r>
              <w:rPr>
                <w:rFonts w:hint="eastAsia"/>
                <w:sz w:val="20"/>
                <w:szCs w:val="20"/>
                <w:lang w:val="en-US" w:eastAsia="zh-CN"/>
              </w:rPr>
              <w:t>1</w:t>
            </w:r>
          </w:p>
        </w:tc>
        <w:tc>
          <w:tcPr>
            <w:tcW w:w="449"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color w:val="000000" w:themeColor="text1"/>
                <w:sz w:val="20"/>
                <w:szCs w:val="20"/>
                <w:lang w:bidi="ar"/>
                <w14:textFill>
                  <w14:solidFill>
                    <w14:schemeClr w14:val="tx1"/>
                  </w14:solidFill>
                </w14:textFill>
              </w:rPr>
            </w:pPr>
            <w:r>
              <w:rPr>
                <w:rFonts w:hint="eastAsia"/>
                <w:sz w:val="20"/>
                <w:szCs w:val="20"/>
              </w:rPr>
              <w:t>7</w:t>
            </w:r>
          </w:p>
        </w:tc>
        <w:tc>
          <w:tcPr>
            <w:tcW w:w="1800"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lang w:bidi="ar"/>
                <w14:textFill>
                  <w14:solidFill>
                    <w14:schemeClr w14:val="tx1"/>
                  </w14:solidFill>
                </w14:textFill>
              </w:rPr>
            </w:pPr>
            <w:r>
              <w:rPr>
                <w:rFonts w:hint="eastAsia"/>
                <w:sz w:val="20"/>
                <w:szCs w:val="20"/>
              </w:rPr>
              <w:t>各科日常诊断、治疗、教学、科研等工作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普外科学、重症医学、全科医学、急诊医学、小儿外科学、创伤急诊外科、骨科、泌尿外科学、口腔医学、眼科学、妇产科学、儿科学、生殖内分泌、麻醉学、康复医学、精神卫生、心理卫生、皮肤与性病学等临床及相关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研究生学历且博士学位</w:t>
            </w:r>
          </w:p>
        </w:tc>
        <w:tc>
          <w:tcPr>
            <w:tcW w:w="540"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全国范围</w:t>
            </w:r>
          </w:p>
        </w:tc>
        <w:tc>
          <w:tcPr>
            <w:tcW w:w="1909"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符合下列条件之一：</w:t>
            </w:r>
          </w:p>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1、2024年普通高校应届毕业生；</w:t>
            </w:r>
          </w:p>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2、</w:t>
            </w:r>
            <w:r>
              <w:rPr>
                <w:rFonts w:hint="eastAsia" w:ascii="宋体" w:hAnsi="宋体" w:cs="宋体"/>
                <w:color w:val="000000" w:themeColor="text1"/>
                <w:kern w:val="0"/>
                <w:sz w:val="20"/>
                <w14:textFill>
                  <w14:solidFill>
                    <w14:schemeClr w14:val="tx1"/>
                  </w14:solidFill>
                </w14:textFill>
              </w:rPr>
              <w:t>已取得学历学位的历届生，年龄35周岁以下（其中对博士研究生、拥有正高专业技术任职资格的年龄可放宽至50周岁以下，副高专业技术任职资格的年龄可放宽至45周岁以下）。有副高及以上专业技术任职资格的学历（学位）可放宽至本科（学士）。临床岗位要求已取得执业医师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rFonts w:hint="eastAsia" w:eastAsia="宋体"/>
                <w:color w:val="000000" w:themeColor="text1"/>
                <w:sz w:val="20"/>
                <w:szCs w:val="20"/>
                <w:highlight w:val="yellow"/>
                <w:lang w:val="en-US" w:eastAsia="zh-CN"/>
                <w14:textFill>
                  <w14:solidFill>
                    <w14:schemeClr w14:val="tx1"/>
                  </w14:solidFill>
                </w14:textFill>
              </w:rPr>
            </w:pPr>
            <w:r>
              <w:rPr>
                <w:rFonts w:hint="eastAsia"/>
                <w:sz w:val="20"/>
                <w:szCs w:val="20"/>
              </w:rPr>
              <w:t>临床</w:t>
            </w:r>
            <w:r>
              <w:rPr>
                <w:rFonts w:hint="eastAsia"/>
                <w:sz w:val="20"/>
                <w:szCs w:val="20"/>
                <w:lang w:val="en-US" w:eastAsia="zh-CN"/>
              </w:rPr>
              <w:t>2</w:t>
            </w:r>
          </w:p>
        </w:tc>
        <w:tc>
          <w:tcPr>
            <w:tcW w:w="449"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color w:val="000000" w:themeColor="text1"/>
                <w:sz w:val="20"/>
                <w:szCs w:val="20"/>
                <w:highlight w:val="yellow"/>
                <w:lang w:bidi="ar"/>
                <w14:textFill>
                  <w14:solidFill>
                    <w14:schemeClr w14:val="tx1"/>
                  </w14:solidFill>
                </w14:textFill>
              </w:rPr>
            </w:pPr>
            <w:r>
              <w:rPr>
                <w:rFonts w:hint="eastAsia"/>
                <w:sz w:val="20"/>
                <w:szCs w:val="20"/>
              </w:rPr>
              <w:t>23</w:t>
            </w:r>
          </w:p>
        </w:tc>
        <w:tc>
          <w:tcPr>
            <w:tcW w:w="1800"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highlight w:val="yellow"/>
                <w:lang w:bidi="ar"/>
                <w14:textFill>
                  <w14:solidFill>
                    <w14:schemeClr w14:val="tx1"/>
                  </w14:solidFill>
                </w14:textFill>
              </w:rPr>
            </w:pPr>
            <w:r>
              <w:rPr>
                <w:rFonts w:hint="eastAsia"/>
                <w:sz w:val="20"/>
                <w:szCs w:val="20"/>
              </w:rPr>
              <w:t>各科日常诊断、治疗、教学、科研等工作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普外科学、重症医学、全科医学、急诊医学、小儿外科学、创伤急诊外科、骨科、泌尿外科学、口腔医学、眼科学、妇产科学、儿科学、生殖内分泌、麻醉学、康复医学、精神卫生、心理卫生、皮肤与性病学等临床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研究生学历且硕士及以上学位</w:t>
            </w:r>
          </w:p>
        </w:tc>
        <w:tc>
          <w:tcPr>
            <w:tcW w:w="540" w:type="dxa"/>
            <w:vMerge w:val="continue"/>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rFonts w:hint="eastAsia" w:eastAsia="宋体"/>
                <w:color w:val="000000" w:themeColor="text1"/>
                <w:sz w:val="20"/>
                <w:szCs w:val="20"/>
                <w:highlight w:val="yellow"/>
                <w:lang w:val="en-US" w:eastAsia="zh-CN"/>
                <w14:textFill>
                  <w14:solidFill>
                    <w14:schemeClr w14:val="tx1"/>
                  </w14:solidFill>
                </w14:textFill>
              </w:rPr>
            </w:pPr>
            <w:r>
              <w:rPr>
                <w:rFonts w:hint="eastAsia"/>
                <w:sz w:val="20"/>
                <w:szCs w:val="20"/>
              </w:rPr>
              <w:t>检验</w:t>
            </w:r>
            <w:r>
              <w:rPr>
                <w:rFonts w:hint="eastAsia"/>
                <w:sz w:val="20"/>
                <w:szCs w:val="20"/>
                <w:lang w:val="en-US" w:eastAsia="zh-CN"/>
              </w:rPr>
              <w:t>1</w:t>
            </w:r>
          </w:p>
        </w:tc>
        <w:tc>
          <w:tcPr>
            <w:tcW w:w="449"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color w:val="000000" w:themeColor="text1"/>
                <w:sz w:val="20"/>
                <w:szCs w:val="20"/>
                <w:highlight w:val="yellow"/>
                <w:lang w:bidi="ar"/>
                <w14:textFill>
                  <w14:solidFill>
                    <w14:schemeClr w14:val="tx1"/>
                  </w14:solidFill>
                </w14:textFill>
              </w:rPr>
            </w:pPr>
            <w:r>
              <w:rPr>
                <w:rFonts w:hint="eastAsia"/>
                <w:sz w:val="20"/>
                <w:szCs w:val="20"/>
              </w:rPr>
              <w:t>2</w:t>
            </w:r>
          </w:p>
        </w:tc>
        <w:tc>
          <w:tcPr>
            <w:tcW w:w="1800"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highlight w:val="yellow"/>
                <w:lang w:bidi="ar"/>
                <w14:textFill>
                  <w14:solidFill>
                    <w14:schemeClr w14:val="tx1"/>
                  </w14:solidFill>
                </w14:textFill>
              </w:rPr>
            </w:pPr>
            <w:r>
              <w:rPr>
                <w:rFonts w:hint="eastAsia"/>
                <w:sz w:val="20"/>
                <w:szCs w:val="20"/>
              </w:rPr>
              <w:t>日常诊断、教学、科研等工作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临床检验诊断学、免疫学等专业；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研究生学历且博士学位</w:t>
            </w:r>
          </w:p>
        </w:tc>
        <w:tc>
          <w:tcPr>
            <w:tcW w:w="540" w:type="dxa"/>
            <w:vMerge w:val="continue"/>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rFonts w:hint="eastAsia" w:eastAsia="宋体"/>
                <w:color w:val="000000" w:themeColor="text1"/>
                <w:sz w:val="20"/>
                <w:szCs w:val="20"/>
                <w:highlight w:val="yellow"/>
                <w:lang w:val="en-US" w:eastAsia="zh-CN"/>
                <w14:textFill>
                  <w14:solidFill>
                    <w14:schemeClr w14:val="tx1"/>
                  </w14:solidFill>
                </w14:textFill>
              </w:rPr>
            </w:pPr>
            <w:r>
              <w:rPr>
                <w:rFonts w:hint="eastAsia"/>
                <w:sz w:val="20"/>
                <w:szCs w:val="20"/>
              </w:rPr>
              <w:t>检验</w:t>
            </w:r>
            <w:r>
              <w:rPr>
                <w:rFonts w:hint="eastAsia"/>
                <w:sz w:val="20"/>
                <w:szCs w:val="20"/>
                <w:lang w:val="en-US" w:eastAsia="zh-CN"/>
              </w:rPr>
              <w:t>2</w:t>
            </w:r>
          </w:p>
        </w:tc>
        <w:tc>
          <w:tcPr>
            <w:tcW w:w="449"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color w:val="000000" w:themeColor="text1"/>
                <w:sz w:val="20"/>
                <w:szCs w:val="20"/>
                <w:highlight w:val="yellow"/>
                <w:lang w:bidi="ar"/>
                <w14:textFill>
                  <w14:solidFill>
                    <w14:schemeClr w14:val="tx1"/>
                  </w14:solidFill>
                </w14:textFill>
              </w:rPr>
            </w:pPr>
            <w:r>
              <w:rPr>
                <w:rFonts w:hint="eastAsia"/>
                <w:sz w:val="20"/>
                <w:szCs w:val="20"/>
              </w:rPr>
              <w:t>2</w:t>
            </w:r>
          </w:p>
        </w:tc>
        <w:tc>
          <w:tcPr>
            <w:tcW w:w="1800"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highlight w:val="yellow"/>
                <w:lang w:bidi="ar"/>
                <w14:textFill>
                  <w14:solidFill>
                    <w14:schemeClr w14:val="tx1"/>
                  </w14:solidFill>
                </w14:textFill>
              </w:rPr>
            </w:pPr>
            <w:r>
              <w:rPr>
                <w:rFonts w:hint="eastAsia"/>
                <w:sz w:val="20"/>
                <w:szCs w:val="20"/>
              </w:rPr>
              <w:t>日常诊断、教学、科研等工作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临床检验诊断学、医学检验、免疫学等专业；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研究生学历且硕士及以上学位</w:t>
            </w:r>
          </w:p>
        </w:tc>
        <w:tc>
          <w:tcPr>
            <w:tcW w:w="540" w:type="dxa"/>
            <w:vMerge w:val="continue"/>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sz w:val="20"/>
                <w:szCs w:val="20"/>
              </w:rPr>
            </w:pPr>
            <w:r>
              <w:rPr>
                <w:rFonts w:hint="eastAsia"/>
                <w:sz w:val="20"/>
                <w:szCs w:val="20"/>
              </w:rPr>
              <w:t>影像</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color w:val="000000" w:themeColor="text1"/>
                <w:sz w:val="20"/>
                <w:szCs w:val="20"/>
                <w:highlight w:val="yellow"/>
                <w14:textFill>
                  <w14:solidFill>
                    <w14:schemeClr w14:val="tx1"/>
                  </w14:solidFill>
                </w14:textFill>
              </w:rPr>
            </w:pPr>
            <w:r>
              <w:rPr>
                <w:rFonts w:hint="eastAsia"/>
                <w:sz w:val="20"/>
                <w:szCs w:val="20"/>
              </w:rPr>
              <w:t>超声</w:t>
            </w:r>
          </w:p>
        </w:tc>
        <w:tc>
          <w:tcPr>
            <w:tcW w:w="449"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color w:val="000000" w:themeColor="text1"/>
                <w:sz w:val="20"/>
                <w:szCs w:val="20"/>
                <w:highlight w:val="yellow"/>
                <w:lang w:bidi="ar"/>
                <w14:textFill>
                  <w14:solidFill>
                    <w14:schemeClr w14:val="tx1"/>
                  </w14:solidFill>
                </w14:textFill>
              </w:rPr>
            </w:pPr>
            <w:r>
              <w:rPr>
                <w:rFonts w:hint="eastAsia"/>
                <w:sz w:val="20"/>
                <w:szCs w:val="20"/>
              </w:rPr>
              <w:t>6</w:t>
            </w:r>
          </w:p>
        </w:tc>
        <w:tc>
          <w:tcPr>
            <w:tcW w:w="1800"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highlight w:val="yellow"/>
                <w:lang w:bidi="ar"/>
                <w14:textFill>
                  <w14:solidFill>
                    <w14:schemeClr w14:val="tx1"/>
                  </w14:solidFill>
                </w14:textFill>
              </w:rPr>
            </w:pPr>
            <w:r>
              <w:rPr>
                <w:rFonts w:hint="eastAsia"/>
                <w:sz w:val="20"/>
                <w:szCs w:val="20"/>
              </w:rPr>
              <w:t>日常诊断、教学、科研等工作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影像医学与核医学、影像医学与核医学（超声方向）等专业；研究生学历且硕士及以上学位</w:t>
            </w:r>
          </w:p>
        </w:tc>
        <w:tc>
          <w:tcPr>
            <w:tcW w:w="540" w:type="dxa"/>
            <w:vMerge w:val="continue"/>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color w:val="000000" w:themeColor="text1"/>
                <w:sz w:val="20"/>
                <w:szCs w:val="20"/>
                <w14:textFill>
                  <w14:solidFill>
                    <w14:schemeClr w14:val="tx1"/>
                  </w14:solidFill>
                </w14:textFill>
              </w:rPr>
            </w:pPr>
            <w:r>
              <w:rPr>
                <w:rFonts w:hint="eastAsia"/>
                <w:sz w:val="20"/>
                <w:szCs w:val="20"/>
              </w:rPr>
              <w:t>科研</w:t>
            </w:r>
          </w:p>
        </w:tc>
        <w:tc>
          <w:tcPr>
            <w:tcW w:w="449"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color w:val="000000" w:themeColor="text1"/>
                <w:sz w:val="20"/>
                <w:szCs w:val="20"/>
                <w14:textFill>
                  <w14:solidFill>
                    <w14:schemeClr w14:val="tx1"/>
                  </w14:solidFill>
                </w14:textFill>
              </w:rPr>
            </w:pPr>
            <w:r>
              <w:rPr>
                <w:rFonts w:hint="eastAsia"/>
                <w:sz w:val="20"/>
                <w:szCs w:val="20"/>
              </w:rPr>
              <w:t>1</w:t>
            </w:r>
          </w:p>
        </w:tc>
        <w:tc>
          <w:tcPr>
            <w:tcW w:w="1800"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14:textFill>
                  <w14:solidFill>
                    <w14:schemeClr w14:val="tx1"/>
                  </w14:solidFill>
                </w14:textFill>
              </w:rPr>
            </w:pPr>
            <w:r>
              <w:rPr>
                <w:rFonts w:hint="eastAsia"/>
                <w:sz w:val="20"/>
                <w:szCs w:val="20"/>
              </w:rPr>
              <w:t>承担医院日常科研等工作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生物信息学、分子生物学、细胞生物学、遗传学等专业；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研究生学历且博士学位</w:t>
            </w:r>
          </w:p>
        </w:tc>
        <w:tc>
          <w:tcPr>
            <w:tcW w:w="540" w:type="dxa"/>
            <w:vMerge w:val="continue"/>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color w:val="000000" w:themeColor="text1"/>
                <w:sz w:val="20"/>
                <w:szCs w:val="20"/>
                <w14:textFill>
                  <w14:solidFill>
                    <w14:schemeClr w14:val="tx1"/>
                  </w14:solidFill>
                </w14:textFill>
              </w:rPr>
            </w:pPr>
            <w:r>
              <w:rPr>
                <w:rFonts w:hint="eastAsia"/>
                <w:sz w:val="20"/>
                <w:szCs w:val="20"/>
              </w:rPr>
              <w:t>护理</w:t>
            </w:r>
          </w:p>
        </w:tc>
        <w:tc>
          <w:tcPr>
            <w:tcW w:w="449"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color w:val="000000" w:themeColor="text1"/>
                <w:sz w:val="20"/>
                <w:szCs w:val="20"/>
                <w14:textFill>
                  <w14:solidFill>
                    <w14:schemeClr w14:val="tx1"/>
                  </w14:solidFill>
                </w14:textFill>
              </w:rPr>
            </w:pPr>
            <w:r>
              <w:rPr>
                <w:rFonts w:hint="eastAsia"/>
                <w:sz w:val="20"/>
                <w:szCs w:val="20"/>
              </w:rPr>
              <w:t>5</w:t>
            </w:r>
          </w:p>
        </w:tc>
        <w:tc>
          <w:tcPr>
            <w:tcW w:w="1800"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14:textFill>
                  <w14:solidFill>
                    <w14:schemeClr w14:val="tx1"/>
                  </w14:solidFill>
                </w14:textFill>
              </w:rPr>
            </w:pPr>
            <w:r>
              <w:rPr>
                <w:rFonts w:hint="eastAsia"/>
                <w:sz w:val="20"/>
                <w:szCs w:val="20"/>
              </w:rPr>
              <w:t>承担医院护理管理工作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护理学专业；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研究生学历且硕士及以上学位</w:t>
            </w:r>
          </w:p>
        </w:tc>
        <w:tc>
          <w:tcPr>
            <w:tcW w:w="540" w:type="dxa"/>
            <w:vMerge w:val="continue"/>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sz w:val="20"/>
                <w:szCs w:val="20"/>
              </w:rPr>
            </w:pPr>
            <w:r>
              <w:rPr>
                <w:rFonts w:hint="eastAsia"/>
                <w:sz w:val="20"/>
                <w:szCs w:val="20"/>
              </w:rPr>
              <w:t>公共</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bCs/>
                <w:color w:val="000000" w:themeColor="text1"/>
                <w:sz w:val="20"/>
                <w:szCs w:val="20"/>
                <w14:textFill>
                  <w14:solidFill>
                    <w14:schemeClr w14:val="tx1"/>
                  </w14:solidFill>
                </w14:textFill>
              </w:rPr>
            </w:pPr>
            <w:r>
              <w:rPr>
                <w:rFonts w:hint="eastAsia"/>
                <w:sz w:val="20"/>
                <w:szCs w:val="20"/>
              </w:rPr>
              <w:t>卫生</w:t>
            </w:r>
          </w:p>
        </w:tc>
        <w:tc>
          <w:tcPr>
            <w:tcW w:w="449"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color w:val="000000" w:themeColor="text1"/>
                <w:sz w:val="20"/>
                <w:szCs w:val="20"/>
                <w:lang w:bidi="ar"/>
                <w14:textFill>
                  <w14:solidFill>
                    <w14:schemeClr w14:val="tx1"/>
                  </w14:solidFill>
                </w14:textFill>
              </w:rPr>
            </w:pPr>
            <w:r>
              <w:rPr>
                <w:rFonts w:hint="eastAsia"/>
                <w:sz w:val="20"/>
                <w:szCs w:val="20"/>
              </w:rPr>
              <w:t>2</w:t>
            </w:r>
          </w:p>
        </w:tc>
        <w:tc>
          <w:tcPr>
            <w:tcW w:w="1800"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14:textFill>
                  <w14:solidFill>
                    <w14:schemeClr w14:val="tx1"/>
                  </w14:solidFill>
                </w14:textFill>
              </w:rPr>
            </w:pPr>
            <w:r>
              <w:rPr>
                <w:rFonts w:hint="eastAsia"/>
                <w:sz w:val="20"/>
                <w:szCs w:val="20"/>
              </w:rPr>
              <w:t>承担医院公共卫生工作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儿少卫生与妇幼保健学、统行病与卫生统计学专业；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研究生学历且硕士及以上学位</w:t>
            </w:r>
          </w:p>
        </w:tc>
        <w:tc>
          <w:tcPr>
            <w:tcW w:w="540" w:type="dxa"/>
            <w:vMerge w:val="continue"/>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宁波市中医院（28名）</w:t>
            </w:r>
          </w:p>
        </w:tc>
        <w:tc>
          <w:tcPr>
            <w:tcW w:w="686" w:type="dxa"/>
            <w:tcBorders>
              <w:top w:val="single" w:color="auto" w:sz="4" w:space="0"/>
              <w:bottom w:val="single" w:color="auto" w:sz="4" w:space="0"/>
            </w:tcBorders>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bCs/>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临床1</w:t>
            </w:r>
          </w:p>
        </w:tc>
        <w:tc>
          <w:tcPr>
            <w:tcW w:w="449"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rFonts w:hint="eastAsia" w:eastAsia="宋体"/>
                <w:color w:val="000000" w:themeColor="text1"/>
                <w:sz w:val="20"/>
                <w:szCs w:val="20"/>
                <w:lang w:eastAsia="zh-CN" w:bidi="ar"/>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8</w:t>
            </w:r>
          </w:p>
        </w:tc>
        <w:tc>
          <w:tcPr>
            <w:tcW w:w="1800"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承担日常诊断、教学、科研等工作</w:t>
            </w:r>
          </w:p>
        </w:tc>
        <w:tc>
          <w:tcPr>
            <w:tcW w:w="2880" w:type="dxa"/>
            <w:tcBorders>
              <w:top w:val="single" w:color="auto" w:sz="4" w:space="0"/>
            </w:tcBorders>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rFonts w:hint="eastAsia" w:eastAsia="宋体"/>
                <w:color w:val="000000" w:themeColor="text1"/>
                <w:sz w:val="20"/>
                <w:szCs w:val="20"/>
                <w:lang w:eastAsia="zh-CN"/>
                <w14:textFill>
                  <w14:solidFill>
                    <w14:schemeClr w14:val="tx1"/>
                  </w14:solidFill>
                </w14:textFill>
              </w:rPr>
            </w:pPr>
            <w:r>
              <w:rPr>
                <w:rFonts w:hint="eastAsia"/>
                <w:color w:val="000000" w:themeColor="text1"/>
                <w:sz w:val="20"/>
                <w:szCs w:val="20"/>
                <w14:textFill>
                  <w14:solidFill>
                    <w14:schemeClr w14:val="tx1"/>
                  </w14:solidFill>
                </w14:textFill>
              </w:rPr>
              <w:t>中医内科学（肿瘤、风湿免疫、呼吸、脑病、肾病等）、内科学（呼吸、神经内科、风湿免疫、肿瘤、肾病等）、妇产科学、中医妇科学、中西医结合临床、外科学、中医骨伤学、中医外科（男科）、皮肤疾病相关专业</w:t>
            </w:r>
            <w:r>
              <w:rPr>
                <w:rFonts w:hint="eastAsia"/>
                <w:color w:val="000000" w:themeColor="text1"/>
                <w:sz w:val="20"/>
                <w:szCs w:val="20"/>
                <w:lang w:eastAsia="zh-CN"/>
                <w14:textFill>
                  <w14:solidFill>
                    <w14:schemeClr w14:val="tx1"/>
                  </w14:solidFill>
                </w14:textFill>
              </w:rPr>
              <w:t>；</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研究生学历且博士学位</w:t>
            </w:r>
          </w:p>
        </w:tc>
        <w:tc>
          <w:tcPr>
            <w:tcW w:w="540"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全国范围</w:t>
            </w:r>
          </w:p>
        </w:tc>
        <w:tc>
          <w:tcPr>
            <w:tcW w:w="1909" w:type="dxa"/>
            <w:vMerge w:val="restart"/>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符合下列条件之一：</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1、2024年普通高校应届毕业生；</w:t>
            </w:r>
          </w:p>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color w:val="000000" w:themeColor="text1"/>
                <w:kern w:val="0"/>
                <w:sz w:val="20"/>
                <w:lang w:val="en-US" w:eastAsia="zh-CN"/>
                <w14:textFill>
                  <w14:solidFill>
                    <w14:schemeClr w14:val="tx1"/>
                  </w14:solidFill>
                </w14:textFill>
              </w:rPr>
              <w:t>2、</w:t>
            </w:r>
            <w:r>
              <w:rPr>
                <w:rFonts w:hint="eastAsia" w:ascii="宋体" w:hAnsi="宋体" w:cs="宋体"/>
                <w:color w:val="000000" w:themeColor="text1"/>
                <w:kern w:val="0"/>
                <w:sz w:val="20"/>
                <w14:textFill>
                  <w14:solidFill>
                    <w14:schemeClr w14:val="tx1"/>
                  </w14:solidFill>
                </w14:textFill>
              </w:rPr>
              <w:t>已取得学历学位的历届生，年龄35周岁以下（其中对博士研究生、拥有正高专业技术任职资格的年龄可放宽至50周岁以下，副高专业技术任职资格的年龄可放宽至45周岁以下）。有副高及以上专业技术任职资格的学历（学位）可放宽至本科（学士）。临床岗位要求已取得执业医师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tcBorders>
              <w:top w:val="single" w:color="auto" w:sz="4" w:space="0"/>
            </w:tcBorders>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临床2</w:t>
            </w:r>
          </w:p>
        </w:tc>
        <w:tc>
          <w:tcPr>
            <w:tcW w:w="449"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color w:val="000000" w:themeColor="text1"/>
                <w:sz w:val="20"/>
                <w:szCs w:val="20"/>
                <w:lang w:bidi="ar"/>
                <w14:textFill>
                  <w14:solidFill>
                    <w14:schemeClr w14:val="tx1"/>
                  </w14:solidFill>
                </w14:textFill>
              </w:rPr>
            </w:pPr>
            <w:r>
              <w:rPr>
                <w:rFonts w:hint="eastAsia"/>
                <w:color w:val="000000" w:themeColor="text1"/>
                <w:sz w:val="20"/>
                <w:szCs w:val="20"/>
                <w14:textFill>
                  <w14:solidFill>
                    <w14:schemeClr w14:val="tx1"/>
                  </w14:solidFill>
                </w14:textFill>
              </w:rPr>
              <w:t>12</w:t>
            </w:r>
          </w:p>
        </w:tc>
        <w:tc>
          <w:tcPr>
            <w:tcW w:w="1800"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承担日常诊断、教学、科研等工作</w:t>
            </w:r>
          </w:p>
        </w:tc>
        <w:tc>
          <w:tcPr>
            <w:tcW w:w="2880"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外科学（普外、肝胆、胃肠、胸外、泌尿、神经、整形外科等）、中医肛肠、麻醉、内科学（心血管、呼吸、急重症等）、中医儿科、妇产科学、精神病与精神卫生学等专业；</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研究生学历且硕士及以上学位</w:t>
            </w:r>
          </w:p>
        </w:tc>
        <w:tc>
          <w:tcPr>
            <w:tcW w:w="540" w:type="dxa"/>
            <w:vMerge w:val="continue"/>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tcBorders>
              <w:top w:val="single" w:color="auto" w:sz="4" w:space="0"/>
            </w:tcBorders>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rFonts w:hint="eastAsia"/>
                <w:color w:val="000000" w:themeColor="text1"/>
                <w:sz w:val="20"/>
                <w:szCs w:val="20"/>
                <w14:textFill>
                  <w14:solidFill>
                    <w14:schemeClr w14:val="tx1"/>
                  </w14:solidFill>
                </w14:textFill>
              </w:rPr>
            </w:pPr>
            <w:r>
              <w:rPr>
                <w:rFonts w:hint="eastAsia"/>
                <w:sz w:val="20"/>
                <w:szCs w:val="20"/>
                <w:lang w:val="en-US" w:eastAsia="zh-CN"/>
              </w:rPr>
              <w:t>科研</w:t>
            </w:r>
          </w:p>
        </w:tc>
        <w:tc>
          <w:tcPr>
            <w:tcW w:w="449"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rFonts w:hint="eastAsia"/>
                <w:color w:val="000000" w:themeColor="text1"/>
                <w:sz w:val="20"/>
                <w:szCs w:val="20"/>
                <w14:textFill>
                  <w14:solidFill>
                    <w14:schemeClr w14:val="tx1"/>
                  </w14:solidFill>
                </w14:textFill>
              </w:rPr>
            </w:pPr>
            <w:r>
              <w:rPr>
                <w:rFonts w:hint="eastAsia"/>
                <w:sz w:val="20"/>
                <w:szCs w:val="20"/>
                <w:lang w:val="en-US" w:eastAsia="zh-CN"/>
              </w:rPr>
              <w:t>1</w:t>
            </w:r>
          </w:p>
        </w:tc>
        <w:tc>
          <w:tcPr>
            <w:tcW w:w="1800"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rFonts w:hint="eastAsia"/>
                <w:color w:val="000000" w:themeColor="text1"/>
                <w:sz w:val="20"/>
                <w:szCs w:val="20"/>
                <w14:textFill>
                  <w14:solidFill>
                    <w14:schemeClr w14:val="tx1"/>
                  </w14:solidFill>
                </w14:textFill>
              </w:rPr>
            </w:pPr>
            <w:r>
              <w:rPr>
                <w:rFonts w:hint="eastAsia"/>
                <w:sz w:val="20"/>
                <w:szCs w:val="20"/>
                <w:lang w:val="en-US" w:eastAsia="zh-CN"/>
              </w:rPr>
              <w:t>承担科室科研工作</w:t>
            </w:r>
          </w:p>
        </w:tc>
        <w:tc>
          <w:tcPr>
            <w:tcW w:w="2880"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rFonts w:hint="eastAsia"/>
                <w:sz w:val="20"/>
                <w:szCs w:val="20"/>
                <w:lang w:val="en-US" w:eastAsia="zh-CN"/>
              </w:rPr>
            </w:pPr>
            <w:r>
              <w:rPr>
                <w:sz w:val="20"/>
                <w:szCs w:val="20"/>
              </w:rPr>
              <w:t>中医内科学</w:t>
            </w:r>
            <w:r>
              <w:rPr>
                <w:rFonts w:hint="eastAsia"/>
                <w:sz w:val="20"/>
                <w:szCs w:val="20"/>
                <w:lang w:eastAsia="zh-CN"/>
              </w:rPr>
              <w:t>（学术型）、</w:t>
            </w:r>
            <w:r>
              <w:rPr>
                <w:rFonts w:hint="eastAsia"/>
                <w:sz w:val="20"/>
                <w:szCs w:val="20"/>
                <w:lang w:val="en-US" w:eastAsia="zh-CN"/>
              </w:rPr>
              <w:t>中西医结合基础、中医体质学专业；</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研究生学历且博士学位</w:t>
            </w:r>
          </w:p>
        </w:tc>
        <w:tc>
          <w:tcPr>
            <w:tcW w:w="540" w:type="dxa"/>
            <w:vMerge w:val="continue"/>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影像</w:t>
            </w:r>
          </w:p>
        </w:tc>
        <w:tc>
          <w:tcPr>
            <w:tcW w:w="449"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w:t>
            </w:r>
          </w:p>
        </w:tc>
        <w:tc>
          <w:tcPr>
            <w:tcW w:w="1800"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highlight w:val="yellow"/>
                <w14:textFill>
                  <w14:solidFill>
                    <w14:schemeClr w14:val="tx1"/>
                  </w14:solidFill>
                </w14:textFill>
              </w:rPr>
            </w:pPr>
            <w:r>
              <w:rPr>
                <w:rFonts w:hint="eastAsia"/>
                <w:color w:val="000000" w:themeColor="text1"/>
                <w:sz w:val="20"/>
                <w:szCs w:val="20"/>
                <w14:textFill>
                  <w14:solidFill>
                    <w14:schemeClr w14:val="tx1"/>
                  </w14:solidFill>
                </w14:textFill>
              </w:rPr>
              <w:t>各科日常诊断、教学、科研等工作</w:t>
            </w:r>
          </w:p>
        </w:tc>
        <w:tc>
          <w:tcPr>
            <w:tcW w:w="2880"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影像医学与核医学、临床医学专业；</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研究生学历且硕士及以上学位</w:t>
            </w:r>
          </w:p>
        </w:tc>
        <w:tc>
          <w:tcPr>
            <w:tcW w:w="540" w:type="dxa"/>
            <w:vMerge w:val="continue"/>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超声</w:t>
            </w:r>
          </w:p>
        </w:tc>
        <w:tc>
          <w:tcPr>
            <w:tcW w:w="449"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w:t>
            </w:r>
          </w:p>
        </w:tc>
        <w:tc>
          <w:tcPr>
            <w:tcW w:w="1800"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highlight w:val="yellow"/>
                <w14:textFill>
                  <w14:solidFill>
                    <w14:schemeClr w14:val="tx1"/>
                  </w14:solidFill>
                </w14:textFill>
              </w:rPr>
            </w:pPr>
            <w:r>
              <w:rPr>
                <w:rFonts w:hint="eastAsia"/>
                <w:color w:val="000000" w:themeColor="text1"/>
                <w:sz w:val="20"/>
                <w:szCs w:val="20"/>
                <w14:textFill>
                  <w14:solidFill>
                    <w14:schemeClr w14:val="tx1"/>
                  </w14:solidFill>
                </w14:textFill>
              </w:rPr>
              <w:t>各科日常诊断、教学、科研等工作</w:t>
            </w:r>
          </w:p>
        </w:tc>
        <w:tc>
          <w:tcPr>
            <w:tcW w:w="2880"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影像医学与核医学、临床医学专业；</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研究生学历且硕士及以上学位</w:t>
            </w:r>
          </w:p>
        </w:tc>
        <w:tc>
          <w:tcPr>
            <w:tcW w:w="540" w:type="dxa"/>
            <w:vMerge w:val="continue"/>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心理</w:t>
            </w:r>
          </w:p>
        </w:tc>
        <w:tc>
          <w:tcPr>
            <w:tcW w:w="449"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w:t>
            </w:r>
          </w:p>
        </w:tc>
        <w:tc>
          <w:tcPr>
            <w:tcW w:w="1800"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承担心理咨询等工作</w:t>
            </w:r>
          </w:p>
        </w:tc>
        <w:tc>
          <w:tcPr>
            <w:tcW w:w="2880"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心理学专业；</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研究生学历且硕士及以上学位</w:t>
            </w:r>
          </w:p>
        </w:tc>
        <w:tc>
          <w:tcPr>
            <w:tcW w:w="540" w:type="dxa"/>
            <w:vMerge w:val="continue"/>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bCs/>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护理</w:t>
            </w:r>
          </w:p>
        </w:tc>
        <w:tc>
          <w:tcPr>
            <w:tcW w:w="449"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color w:val="000000" w:themeColor="text1"/>
                <w:sz w:val="20"/>
                <w:szCs w:val="20"/>
                <w:lang w:bidi="ar"/>
                <w14:textFill>
                  <w14:solidFill>
                    <w14:schemeClr w14:val="tx1"/>
                  </w14:solidFill>
                </w14:textFill>
              </w:rPr>
            </w:pPr>
            <w:r>
              <w:rPr>
                <w:rFonts w:hint="eastAsia"/>
                <w:color w:val="000000" w:themeColor="text1"/>
                <w:sz w:val="20"/>
                <w:szCs w:val="20"/>
                <w14:textFill>
                  <w14:solidFill>
                    <w14:schemeClr w14:val="tx1"/>
                  </w14:solidFill>
                </w14:textFill>
              </w:rPr>
              <w:t>2</w:t>
            </w:r>
          </w:p>
        </w:tc>
        <w:tc>
          <w:tcPr>
            <w:tcW w:w="1800"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承担护理科研、临床护理工作</w:t>
            </w:r>
          </w:p>
        </w:tc>
        <w:tc>
          <w:tcPr>
            <w:tcW w:w="2880"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护理学专业；</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研究生学历且硕士及以上学位</w:t>
            </w:r>
          </w:p>
        </w:tc>
        <w:tc>
          <w:tcPr>
            <w:tcW w:w="540" w:type="dxa"/>
            <w:vMerge w:val="continue"/>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bCs/>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中医药研究院科研</w:t>
            </w:r>
          </w:p>
        </w:tc>
        <w:tc>
          <w:tcPr>
            <w:tcW w:w="449"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color w:val="000000" w:themeColor="text1"/>
                <w:sz w:val="20"/>
                <w:szCs w:val="20"/>
                <w:lang w:bidi="ar"/>
                <w14:textFill>
                  <w14:solidFill>
                    <w14:schemeClr w14:val="tx1"/>
                  </w14:solidFill>
                </w14:textFill>
              </w:rPr>
            </w:pPr>
            <w:r>
              <w:rPr>
                <w:rFonts w:hint="eastAsia"/>
                <w:color w:val="000000" w:themeColor="text1"/>
                <w:sz w:val="20"/>
                <w:szCs w:val="20"/>
                <w14:textFill>
                  <w14:solidFill>
                    <w14:schemeClr w14:val="tx1"/>
                  </w14:solidFill>
                </w14:textFill>
              </w:rPr>
              <w:t>2</w:t>
            </w:r>
          </w:p>
        </w:tc>
        <w:tc>
          <w:tcPr>
            <w:tcW w:w="1800"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承担中医药科研相关工作</w:t>
            </w:r>
          </w:p>
        </w:tc>
        <w:tc>
          <w:tcPr>
            <w:tcW w:w="2880"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药学、药理学，中药学，中药药理，分子生物学等相关专业；</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研究生学历且博士学位</w:t>
            </w:r>
          </w:p>
        </w:tc>
        <w:tc>
          <w:tcPr>
            <w:tcW w:w="540" w:type="dxa"/>
            <w:vMerge w:val="continue"/>
            <w:tcBorders>
              <w:bottom w:val="single" w:color="auto" w:sz="4" w:space="0"/>
            </w:tcBorders>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31" w:hRule="atLeast"/>
          <w:jc w:val="center"/>
        </w:trPr>
        <w:tc>
          <w:tcPr>
            <w:tcW w:w="1264"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宁波市康宁</w:t>
            </w:r>
          </w:p>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医院</w:t>
            </w:r>
          </w:p>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（12名）</w:t>
            </w:r>
          </w:p>
        </w:tc>
        <w:tc>
          <w:tcPr>
            <w:tcW w:w="6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lang w:bidi="ar"/>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临床1</w:t>
            </w:r>
          </w:p>
        </w:tc>
        <w:tc>
          <w:tcPr>
            <w:tcW w:w="4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lang w:bidi="ar"/>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6</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承担精神科日常诊断、治疗、会诊、教学科研等工作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精神卫生专业；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研究生学历且硕士及以上学位</w:t>
            </w:r>
          </w:p>
        </w:tc>
        <w:tc>
          <w:tcPr>
            <w:tcW w:w="540"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全国范围</w:t>
            </w:r>
          </w:p>
        </w:tc>
        <w:tc>
          <w:tcPr>
            <w:tcW w:w="1909"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符合下列条件之一：</w:t>
            </w:r>
          </w:p>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1.2024年普通高校应届毕业生；</w:t>
            </w:r>
          </w:p>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2.已取得学历学位的历届生，年龄35周岁以下（其中对博士研究生、拥有正高专业技术任职资格的年龄可放宽至50周岁以下，副高专业技术任职资格的年龄可放宽至45周岁以下）。</w:t>
            </w:r>
            <w:r>
              <w:rPr>
                <w:rFonts w:hint="eastAsia" w:ascii="宋体" w:hAnsi="宋体" w:eastAsia="宋体" w:cs="宋体"/>
                <w:color w:val="auto"/>
                <w:kern w:val="0"/>
                <w:sz w:val="20"/>
                <w:szCs w:val="20"/>
              </w:rPr>
              <w:t>有副高及以上专业技术任职资格的学历（学位）可放宽至本科（学士）。</w:t>
            </w:r>
            <w:r>
              <w:rPr>
                <w:rFonts w:hint="eastAsia" w:ascii="宋体" w:hAnsi="宋体" w:cs="宋体"/>
                <w:color w:val="000000" w:themeColor="text1"/>
                <w:kern w:val="0"/>
                <w:sz w:val="20"/>
                <w14:textFill>
                  <w14:solidFill>
                    <w14:schemeClr w14:val="tx1"/>
                  </w14:solidFill>
                </w14:textFill>
              </w:rPr>
              <w:t>临床岗位要求已取得执业医师</w:t>
            </w:r>
            <w:r>
              <w:rPr>
                <w:rFonts w:hint="eastAsia" w:ascii="宋体" w:hAnsi="宋体" w:cs="宋体"/>
                <w:bCs/>
                <w:color w:val="000000" w:themeColor="text1"/>
                <w:sz w:val="20"/>
                <w14:textFill>
                  <w14:solidFill>
                    <w14:schemeClr w14:val="tx1"/>
                  </w14:solidFill>
                </w14:textFill>
              </w:rPr>
              <w:t>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临床2</w:t>
            </w:r>
          </w:p>
        </w:tc>
        <w:tc>
          <w:tcPr>
            <w:tcW w:w="4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1</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承担精神科、中医情志病等中西医日常诊断、治疗、会诊、教学科研等工作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中西医结合医学专业；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研究生学历且硕士及以上学位</w:t>
            </w:r>
          </w:p>
        </w:tc>
        <w:tc>
          <w:tcPr>
            <w:tcW w:w="540" w:type="dxa"/>
            <w:vMerge w:val="continue"/>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临床3</w:t>
            </w:r>
          </w:p>
        </w:tc>
        <w:tc>
          <w:tcPr>
            <w:tcW w:w="4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1</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承担内科及重症医学日常诊断、治疗、教学科研等工作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呼吸内科学专业；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研究生学历且硕士及以上学位</w:t>
            </w:r>
          </w:p>
        </w:tc>
        <w:tc>
          <w:tcPr>
            <w:tcW w:w="540" w:type="dxa"/>
            <w:vMerge w:val="continue"/>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研究1</w:t>
            </w:r>
          </w:p>
        </w:tc>
        <w:tc>
          <w:tcPr>
            <w:tcW w:w="4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2</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承担精神医学研究工作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精神卫生</w:t>
            </w:r>
            <w:r>
              <w:rPr>
                <w:rFonts w:hint="eastAsia" w:ascii="宋体" w:hAnsi="宋体" w:cs="宋体"/>
                <w:color w:val="000000" w:themeColor="text1"/>
                <w:kern w:val="0"/>
                <w:sz w:val="20"/>
                <w:lang w:eastAsia="zh-CN"/>
                <w14:textFill>
                  <w14:solidFill>
                    <w14:schemeClr w14:val="tx1"/>
                  </w14:solidFill>
                </w14:textFill>
              </w:rPr>
              <w:t>（学术型）</w:t>
            </w:r>
            <w:r>
              <w:rPr>
                <w:rFonts w:hint="eastAsia" w:ascii="宋体" w:hAnsi="宋体" w:cs="宋体"/>
                <w:color w:val="000000" w:themeColor="text1"/>
                <w:kern w:val="0"/>
                <w:sz w:val="20"/>
                <w14:textFill>
                  <w14:solidFill>
                    <w14:schemeClr w14:val="tx1"/>
                  </w14:solidFill>
                </w14:textFill>
              </w:rPr>
              <w:t>、心理卫生</w:t>
            </w:r>
            <w:r>
              <w:rPr>
                <w:rFonts w:hint="eastAsia" w:ascii="宋体" w:hAnsi="宋体" w:cs="宋体"/>
                <w:color w:val="000000" w:themeColor="text1"/>
                <w:kern w:val="0"/>
                <w:sz w:val="20"/>
                <w:lang w:eastAsia="zh-CN"/>
                <w14:textFill>
                  <w14:solidFill>
                    <w14:schemeClr w14:val="tx1"/>
                  </w14:solidFill>
                </w14:textFill>
              </w:rPr>
              <w:t>（学术型）</w:t>
            </w:r>
            <w:r>
              <w:rPr>
                <w:rFonts w:hint="eastAsia" w:ascii="宋体" w:hAnsi="宋体" w:cs="宋体"/>
                <w:color w:val="000000" w:themeColor="text1"/>
                <w:kern w:val="0"/>
                <w:sz w:val="20"/>
                <w14:textFill>
                  <w14:solidFill>
                    <w14:schemeClr w14:val="tx1"/>
                  </w14:solidFill>
                </w14:textFill>
              </w:rPr>
              <w:t>等专业；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研究生学历且硕士及以上学位</w:t>
            </w:r>
          </w:p>
        </w:tc>
        <w:tc>
          <w:tcPr>
            <w:tcW w:w="540" w:type="dxa"/>
            <w:vMerge w:val="continue"/>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研究2</w:t>
            </w:r>
          </w:p>
        </w:tc>
        <w:tc>
          <w:tcPr>
            <w:tcW w:w="4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1</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承担公共卫生领域研究工作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流行病学与卫生统计学、公共卫生专业（精神卫生、心理学方向）；                     研究生学历且博士学位</w:t>
            </w:r>
          </w:p>
        </w:tc>
        <w:tc>
          <w:tcPr>
            <w:tcW w:w="540" w:type="dxa"/>
            <w:vMerge w:val="continue"/>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护理</w:t>
            </w:r>
          </w:p>
        </w:tc>
        <w:tc>
          <w:tcPr>
            <w:tcW w:w="4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1</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承担医院日常医疗护理、管理、研究工作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护理学等专业；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研究生学历且硕士及以上学位</w:t>
            </w:r>
          </w:p>
        </w:tc>
        <w:tc>
          <w:tcPr>
            <w:tcW w:w="540" w:type="dxa"/>
            <w:vMerge w:val="continue"/>
            <w:tcBorders>
              <w:bottom w:val="single" w:color="auto" w:sz="4" w:space="0"/>
            </w:tcBorders>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宁波市疾病预防控制中心</w:t>
            </w:r>
          </w:p>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（1</w:t>
            </w:r>
            <w:r>
              <w:rPr>
                <w:rFonts w:ascii="宋体" w:hAnsi="宋体" w:cs="宋体"/>
                <w:bCs/>
                <w:color w:val="000000" w:themeColor="text1"/>
                <w:sz w:val="20"/>
                <w14:textFill>
                  <w14:solidFill>
                    <w14:schemeClr w14:val="tx1"/>
                  </w14:solidFill>
                </w14:textFill>
              </w:rPr>
              <w:t>1</w:t>
            </w:r>
            <w:r>
              <w:rPr>
                <w:rFonts w:hint="eastAsia" w:ascii="宋体" w:hAnsi="宋体" w:cs="宋体"/>
                <w:bCs/>
                <w:color w:val="000000" w:themeColor="text1"/>
                <w:sz w:val="20"/>
                <w14:textFill>
                  <w14:solidFill>
                    <w14:schemeClr w14:val="tx1"/>
                  </w14:solidFill>
                </w14:textFill>
              </w:rPr>
              <w:t>名）</w:t>
            </w:r>
          </w:p>
        </w:tc>
        <w:tc>
          <w:tcPr>
            <w:tcW w:w="6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卫生</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检验</w:t>
            </w:r>
          </w:p>
        </w:tc>
        <w:tc>
          <w:tcPr>
            <w:tcW w:w="4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4</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承担卫生检验相关工作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卫生检验、卫生检验与检疫、生物化学与分子生物学、病原生物学、微生物学、化学、农业昆虫与害虫防治专业；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研究生学历且硕士及以上学位</w:t>
            </w:r>
          </w:p>
        </w:tc>
        <w:tc>
          <w:tcPr>
            <w:tcW w:w="540"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全国范围</w:t>
            </w:r>
          </w:p>
        </w:tc>
        <w:tc>
          <w:tcPr>
            <w:tcW w:w="1909"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2024年普通高校应届毕业生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Cs/>
                <w:color w:val="000000" w:themeColor="text1"/>
                <w:sz w:val="20"/>
                <w14:textFill>
                  <w14:solidFill>
                    <w14:schemeClr w14:val="tx1"/>
                  </w14:solidFill>
                </w14:textFill>
              </w:rPr>
            </w:pPr>
          </w:p>
        </w:tc>
        <w:tc>
          <w:tcPr>
            <w:tcW w:w="6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卫生</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检验</w:t>
            </w:r>
          </w:p>
        </w:tc>
        <w:tc>
          <w:tcPr>
            <w:tcW w:w="4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1</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承担卫生检验相关工作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化学专业；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研究生学历且博士学位</w:t>
            </w:r>
          </w:p>
        </w:tc>
        <w:tc>
          <w:tcPr>
            <w:tcW w:w="540" w:type="dxa"/>
            <w:vMerge w:val="continue"/>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hint="eastAsia" w:ascii="宋体" w:hAnsi="宋体" w:cs="宋体"/>
                <w:bCs/>
                <w:color w:val="000000" w:themeColor="text1"/>
                <w:sz w:val="20"/>
                <w14:textFill>
                  <w14:solidFill>
                    <w14:schemeClr w14:val="tx1"/>
                  </w14:solidFill>
                </w14:textFill>
              </w:rPr>
            </w:pPr>
          </w:p>
        </w:tc>
        <w:tc>
          <w:tcPr>
            <w:tcW w:w="1909"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符合下列条件之一：</w:t>
            </w:r>
          </w:p>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1.2024年普通高校应届毕业生；</w:t>
            </w:r>
          </w:p>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hint="eastAsia"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2.已取得学历学位的历届生，年龄35周岁以下（其中对博士研究生、拥有正高专业技术任职资格的年龄可放宽至50周岁以下，副高专业技术任职资格的年龄可放宽至45周岁以下）。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5"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疾病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14:textFill>
                  <w14:solidFill>
                    <w14:schemeClr w14:val="tx1"/>
                  </w14:solidFill>
                </w14:textFill>
              </w:rPr>
            </w:pPr>
            <w:r>
              <w:rPr>
                <w:rFonts w:ascii="宋体" w:hAnsi="宋体" w:cs="宋体"/>
                <w:color w:val="000000" w:themeColor="text1"/>
                <w:kern w:val="0"/>
                <w:sz w:val="20"/>
                <w14:textFill>
                  <w14:solidFill>
                    <w14:schemeClr w14:val="tx1"/>
                  </w14:solidFill>
                </w14:textFill>
              </w:rPr>
              <w:t>控制</w:t>
            </w:r>
          </w:p>
        </w:tc>
        <w:tc>
          <w:tcPr>
            <w:tcW w:w="449"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6</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承担</w:t>
            </w:r>
            <w:r>
              <w:rPr>
                <w:rFonts w:ascii="宋体" w:hAnsi="宋体" w:cs="宋体"/>
                <w:color w:val="000000" w:themeColor="text1"/>
                <w:kern w:val="0"/>
                <w:sz w:val="20"/>
                <w14:textFill>
                  <w14:solidFill>
                    <w14:schemeClr w14:val="tx1"/>
                  </w14:solidFill>
                </w14:textFill>
              </w:rPr>
              <w:t>疾病控制相关工作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流行病与卫生统计学，公共卫生</w:t>
            </w:r>
            <w:r>
              <w:rPr>
                <w:rFonts w:hint="eastAsia" w:ascii="宋体" w:hAnsi="宋体" w:cs="宋体"/>
                <w:color w:val="000000" w:themeColor="text1"/>
                <w:kern w:val="0"/>
                <w:sz w:val="20"/>
                <w:lang w:eastAsia="zh-CN"/>
                <w14:textFill>
                  <w14:solidFill>
                    <w14:schemeClr w14:val="tx1"/>
                  </w14:solidFill>
                </w14:textFill>
              </w:rPr>
              <w:t>、</w:t>
            </w:r>
            <w:r>
              <w:rPr>
                <w:rFonts w:hint="eastAsia" w:ascii="宋体" w:hAnsi="宋体" w:cs="宋体"/>
                <w:color w:val="000000" w:themeColor="text1"/>
                <w:kern w:val="0"/>
                <w:sz w:val="20"/>
                <w14:textFill>
                  <w14:solidFill>
                    <w14:schemeClr w14:val="tx1"/>
                  </w14:solidFill>
                </w14:textFill>
              </w:rPr>
              <w:t>公共卫生与预防医学专业；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研究生学历且硕士及以上学位</w:t>
            </w:r>
          </w:p>
        </w:tc>
        <w:tc>
          <w:tcPr>
            <w:tcW w:w="540" w:type="dxa"/>
            <w:vMerge w:val="continue"/>
            <w:tcBorders>
              <w:bottom w:val="single" w:color="auto" w:sz="4" w:space="0"/>
            </w:tcBorders>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tcBorders>
              <w:top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bCs/>
                <w:color w:val="000000" w:themeColor="text1"/>
                <w:sz w:val="20"/>
                <w:lang w:eastAsia="zh-CN"/>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2024年普通高校应届毕业生；本科为预防医学专业</w:t>
            </w:r>
            <w:r>
              <w:rPr>
                <w:rFonts w:hint="eastAsia" w:ascii="宋体" w:hAnsi="宋体" w:cs="宋体"/>
                <w:color w:val="000000" w:themeColor="text1"/>
                <w:kern w:val="0"/>
                <w:sz w:val="20"/>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17" w:hRule="atLeast"/>
          <w:jc w:val="center"/>
        </w:trPr>
        <w:tc>
          <w:tcPr>
            <w:tcW w:w="1264" w:type="dxa"/>
            <w:vMerge w:val="restart"/>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宁波市临床病理诊断中心（10名）</w:t>
            </w:r>
          </w:p>
        </w:tc>
        <w:tc>
          <w:tcPr>
            <w:tcW w:w="686"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病理</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bCs/>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诊断</w:t>
            </w:r>
          </w:p>
        </w:tc>
        <w:tc>
          <w:tcPr>
            <w:tcW w:w="449"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center"/>
              <w:textAlignment w:val="auto"/>
              <w:outlineLvl w:val="9"/>
              <w:rPr>
                <w:bCs/>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8</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承担临床病理诊断、教学、科研等工作。</w:t>
            </w:r>
          </w:p>
        </w:tc>
        <w:tc>
          <w:tcPr>
            <w:tcW w:w="2880" w:type="dxa"/>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临床医学、临床病理学、病理学与病理生理学等专业；</w:t>
            </w:r>
          </w:p>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研究生学历且硕士及以上学位</w:t>
            </w:r>
          </w:p>
        </w:tc>
        <w:tc>
          <w:tcPr>
            <w:tcW w:w="540" w:type="dxa"/>
            <w:vMerge w:val="restart"/>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全国范围</w:t>
            </w:r>
          </w:p>
        </w:tc>
        <w:tc>
          <w:tcPr>
            <w:tcW w:w="1909" w:type="dxa"/>
            <w:vMerge w:val="restart"/>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符合下列条件之一：</w:t>
            </w:r>
          </w:p>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1、2024年普通高校应届毕业生；</w:t>
            </w:r>
          </w:p>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r>
              <w:rPr>
                <w:rFonts w:hint="eastAsia" w:ascii="宋体" w:hAnsi="宋体" w:cs="宋体"/>
                <w:color w:val="000000" w:themeColor="text1"/>
                <w:kern w:val="0"/>
                <w:sz w:val="20"/>
                <w14:textFill>
                  <w14:solidFill>
                    <w14:schemeClr w14:val="tx1"/>
                  </w14:solidFill>
                </w14:textFill>
              </w:rPr>
              <w:t>2、已取得学历学位的历届生，年龄35周岁以下（其中对博士研究生、拥有正高专业技术任职资格的年龄可放宽至50周岁以下，副高专业技术任职资格的年龄可放宽至45周岁以下）。</w:t>
            </w:r>
            <w:r>
              <w:rPr>
                <w:rFonts w:hint="eastAsia" w:ascii="宋体" w:hAnsi="宋体" w:eastAsia="宋体" w:cs="宋体"/>
                <w:color w:val="auto"/>
                <w:kern w:val="0"/>
                <w:sz w:val="20"/>
                <w:szCs w:val="20"/>
              </w:rPr>
              <w:t>有副高及以上专业技术任职资格的学历（学位）可放宽至本科（学士）。</w:t>
            </w:r>
            <w:r>
              <w:rPr>
                <w:rFonts w:hint="eastAsia" w:ascii="宋体" w:hAnsi="宋体" w:cs="宋体"/>
                <w:color w:val="000000" w:themeColor="text1"/>
                <w:kern w:val="0"/>
                <w:sz w:val="20"/>
                <w14:textFill>
                  <w14:solidFill>
                    <w14:schemeClr w14:val="tx1"/>
                  </w14:solidFill>
                </w14:textFill>
              </w:rPr>
              <w:t>临床岗位要求已取得执业医师</w:t>
            </w:r>
            <w:r>
              <w:rPr>
                <w:rFonts w:hint="eastAsia" w:ascii="宋体" w:hAnsi="宋体" w:cs="宋体"/>
                <w:bCs/>
                <w:color w:val="000000" w:themeColor="text1"/>
                <w:sz w:val="20"/>
                <w14:textFill>
                  <w14:solidFill>
                    <w14:schemeClr w14:val="tx1"/>
                  </w14:solidFill>
                </w14:textFill>
              </w:rPr>
              <w:t>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生物信息分析</w:t>
            </w:r>
          </w:p>
        </w:tc>
        <w:tc>
          <w:tcPr>
            <w:tcW w:w="449"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1</w:t>
            </w:r>
          </w:p>
        </w:tc>
        <w:tc>
          <w:tcPr>
            <w:tcW w:w="1800" w:type="dxa"/>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bCs/>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承担生物信息数据分析工作。</w:t>
            </w:r>
          </w:p>
        </w:tc>
        <w:tc>
          <w:tcPr>
            <w:tcW w:w="2880"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生物信息学、分子生物学等专业；</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研究生学历且硕士及以上学位</w:t>
            </w:r>
          </w:p>
        </w:tc>
        <w:tc>
          <w:tcPr>
            <w:tcW w:w="54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 w:hRule="atLeast"/>
          <w:jc w:val="center"/>
        </w:trPr>
        <w:tc>
          <w:tcPr>
            <w:tcW w:w="1264"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686"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科研</w:t>
            </w:r>
          </w:p>
        </w:tc>
        <w:tc>
          <w:tcPr>
            <w:tcW w:w="449" w:type="dxa"/>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color w:val="000000" w:themeColor="text1"/>
                <w:sz w:val="20"/>
                <w14:textFill>
                  <w14:solidFill>
                    <w14:schemeClr w14:val="tx1"/>
                  </w14:solidFill>
                </w14:textFill>
              </w:rPr>
            </w:pPr>
            <w:r>
              <w:rPr>
                <w:rFonts w:hint="eastAsia" w:ascii="宋体" w:hAnsi="宋体" w:cs="宋体"/>
                <w:bCs/>
                <w:color w:val="000000" w:themeColor="text1"/>
                <w:sz w:val="20"/>
                <w14:textFill>
                  <w14:solidFill>
                    <w14:schemeClr w14:val="tx1"/>
                  </w14:solidFill>
                </w14:textFill>
              </w:rPr>
              <w:t>1</w:t>
            </w:r>
          </w:p>
        </w:tc>
        <w:tc>
          <w:tcPr>
            <w:tcW w:w="1800"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承担科研、实验相关工作。</w:t>
            </w:r>
          </w:p>
        </w:tc>
        <w:tc>
          <w:tcPr>
            <w:tcW w:w="2880" w:type="dxa"/>
            <w:vAlign w:val="center"/>
          </w:tcPr>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细胞生物学、生物化学与分子生物学等专业；</w:t>
            </w:r>
          </w:p>
          <w:p>
            <w:pPr>
              <w:pStyle w:val="2"/>
              <w:keepNext w:val="0"/>
              <w:keepLines w:val="0"/>
              <w:pageBreakBefore w:val="0"/>
              <w:kinsoku/>
              <w:wordWrap/>
              <w:overflowPunct/>
              <w:topLinePunct w:val="0"/>
              <w:autoSpaceDE/>
              <w:autoSpaceDN/>
              <w:bidi w:val="0"/>
              <w:adjustRightInd/>
              <w:snapToGrid/>
              <w:spacing w:before="0" w:beforeAutospacing="0" w:after="0" w:afterAutospacing="0" w:line="240" w:lineRule="exact"/>
              <w:jc w:val="left"/>
              <w:textAlignment w:val="auto"/>
              <w:outlineLvl w:val="9"/>
              <w:rPr>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研究生学历且博士学位</w:t>
            </w:r>
          </w:p>
        </w:tc>
        <w:tc>
          <w:tcPr>
            <w:tcW w:w="540"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outlineLvl w:val="9"/>
              <w:rPr>
                <w:rFonts w:ascii="宋体" w:hAnsi="宋体" w:cs="宋体"/>
                <w:bCs/>
                <w:color w:val="000000" w:themeColor="text1"/>
                <w:sz w:val="20"/>
                <w14:textFill>
                  <w14:solidFill>
                    <w14:schemeClr w14:val="tx1"/>
                  </w14:solidFill>
                </w14:textFill>
              </w:rPr>
            </w:pPr>
          </w:p>
        </w:tc>
        <w:tc>
          <w:tcPr>
            <w:tcW w:w="1909" w:type="dxa"/>
            <w:vMerge w:val="continue"/>
            <w:vAlign w:val="center"/>
          </w:tcPr>
          <w:p>
            <w:pPr>
              <w:keepNext w:val="0"/>
              <w:keepLines w:val="0"/>
              <w:pageBreakBefore w:val="0"/>
              <w:kinsoku/>
              <w:wordWrap/>
              <w:overflowPunct/>
              <w:topLinePunct w:val="0"/>
              <w:autoSpaceDE/>
              <w:autoSpaceDN/>
              <w:bidi w:val="0"/>
              <w:adjustRightInd/>
              <w:snapToGrid/>
              <w:spacing w:line="240" w:lineRule="exact"/>
              <w:jc w:val="left"/>
              <w:textAlignment w:val="auto"/>
              <w:outlineLvl w:val="9"/>
              <w:rPr>
                <w:rFonts w:ascii="宋体" w:hAnsi="宋体" w:cs="宋体"/>
                <w:color w:val="000000" w:themeColor="text1"/>
                <w:kern w:val="0"/>
                <w:sz w:val="20"/>
                <w14:textFill>
                  <w14:solidFill>
                    <w14:schemeClr w14:val="tx1"/>
                  </w14:solidFill>
                </w14:textFill>
              </w:rPr>
            </w:pPr>
          </w:p>
        </w:tc>
      </w:tr>
    </w:tbl>
    <w:p>
      <w:pPr>
        <w:spacing w:line="360" w:lineRule="auto"/>
        <w:ind w:firstLine="480" w:firstLineChars="200"/>
        <w:rPr>
          <w:rFonts w:ascii="宋体" w:hAnsi="宋体" w:cs="宋体"/>
          <w:sz w:val="24"/>
          <w:szCs w:val="24"/>
        </w:rPr>
      </w:pPr>
      <w:r>
        <w:rPr>
          <w:rFonts w:hint="eastAsia" w:ascii="宋体" w:hAnsi="宋体" w:cs="宋体"/>
          <w:sz w:val="24"/>
          <w:szCs w:val="24"/>
        </w:rPr>
        <w:t>注：</w:t>
      </w:r>
    </w:p>
    <w:p>
      <w:pPr>
        <w:spacing w:line="360" w:lineRule="auto"/>
        <w:ind w:firstLine="480" w:firstLineChars="200"/>
        <w:rPr>
          <w:rFonts w:ascii="宋体" w:hAnsi="宋体" w:cs="宋体"/>
          <w:sz w:val="24"/>
          <w:szCs w:val="24"/>
        </w:rPr>
      </w:pPr>
      <w:r>
        <w:rPr>
          <w:rFonts w:hint="eastAsia" w:ascii="宋体" w:hAnsi="宋体" w:cs="宋体"/>
          <w:sz w:val="24"/>
          <w:szCs w:val="24"/>
        </w:rPr>
        <w:t>1、2024年普通高等院校应届毕业生需在2024年9月30日取得相应的学历、学位。202</w:t>
      </w:r>
      <w:r>
        <w:rPr>
          <w:rFonts w:hint="default" w:ascii="宋体" w:hAnsi="宋体" w:cs="宋体"/>
          <w:sz w:val="24"/>
          <w:szCs w:val="24"/>
          <w:woUserID w:val="1"/>
        </w:rPr>
        <w:t>4</w:t>
      </w:r>
      <w:r>
        <w:rPr>
          <w:rFonts w:hint="eastAsia" w:ascii="宋体" w:hAnsi="宋体" w:cs="宋体"/>
          <w:sz w:val="24"/>
          <w:szCs w:val="24"/>
        </w:rPr>
        <w:t>年</w:t>
      </w:r>
      <w:r>
        <w:rPr>
          <w:rFonts w:hint="default" w:ascii="宋体" w:hAnsi="宋体" w:cs="宋体"/>
          <w:sz w:val="24"/>
          <w:szCs w:val="24"/>
          <w:woUserID w:val="1"/>
        </w:rPr>
        <w:t>1</w:t>
      </w:r>
      <w:r>
        <w:rPr>
          <w:rFonts w:hint="eastAsia" w:ascii="宋体" w:hAnsi="宋体" w:cs="宋体"/>
          <w:sz w:val="24"/>
          <w:szCs w:val="24"/>
        </w:rPr>
        <w:t>月1日至2024年</w:t>
      </w:r>
      <w:r>
        <w:rPr>
          <w:rFonts w:hint="default" w:ascii="宋体" w:hAnsi="宋体" w:cs="宋体"/>
          <w:sz w:val="24"/>
          <w:szCs w:val="24"/>
          <w:woUserID w:val="1"/>
        </w:rPr>
        <w:t>12</w:t>
      </w:r>
      <w:r>
        <w:rPr>
          <w:rFonts w:hint="eastAsia" w:ascii="宋体" w:hAnsi="宋体" w:cs="宋体"/>
          <w:sz w:val="24"/>
          <w:szCs w:val="24"/>
        </w:rPr>
        <w:t>月3</w:t>
      </w:r>
      <w:r>
        <w:rPr>
          <w:rFonts w:hint="default" w:ascii="宋体" w:hAnsi="宋体" w:cs="宋体"/>
          <w:sz w:val="24"/>
          <w:szCs w:val="24"/>
          <w:woUserID w:val="1"/>
        </w:rPr>
        <w:t>1</w:t>
      </w:r>
      <w:r>
        <w:rPr>
          <w:rFonts w:hint="eastAsia" w:ascii="宋体" w:hAnsi="宋体" w:cs="宋体"/>
          <w:sz w:val="24"/>
          <w:szCs w:val="24"/>
        </w:rPr>
        <w:t>日毕业的国（境）外留学回国（境）人员可等同于国内2024年普通应届毕业生，报考时仍未毕业的可凭国（境）外学校学籍证明报名,但须于202</w:t>
      </w:r>
      <w:r>
        <w:rPr>
          <w:rFonts w:hint="default" w:ascii="宋体" w:hAnsi="宋体" w:cs="宋体"/>
          <w:sz w:val="24"/>
          <w:szCs w:val="24"/>
          <w:woUserID w:val="1"/>
        </w:rPr>
        <w:t>5</w:t>
      </w:r>
      <w:r>
        <w:rPr>
          <w:rFonts w:hint="eastAsia" w:ascii="宋体" w:hAnsi="宋体" w:cs="宋体"/>
          <w:sz w:val="24"/>
          <w:szCs w:val="24"/>
        </w:rPr>
        <w:t>年1月31日前取得国家教育部出具的学历学位认证书（到时未取得的不予录用），专业相近的以所学课程为准。</w:t>
      </w:r>
    </w:p>
    <w:p>
      <w:pPr>
        <w:numPr>
          <w:ilvl w:val="0"/>
          <w:numId w:val="1"/>
        </w:numPr>
        <w:spacing w:line="360" w:lineRule="auto"/>
        <w:ind w:firstLine="480" w:firstLineChars="200"/>
        <w:rPr>
          <w:rFonts w:ascii="宋体" w:hAnsi="宋体" w:cs="宋体"/>
          <w:sz w:val="24"/>
          <w:szCs w:val="24"/>
        </w:rPr>
      </w:pPr>
      <w:r>
        <w:rPr>
          <w:rFonts w:hint="eastAsia" w:ascii="宋体" w:hAnsi="宋体" w:cs="宋体"/>
          <w:sz w:val="24"/>
          <w:szCs w:val="24"/>
        </w:rPr>
        <w:t>除面向2024年普通高等院校应届毕业生的岗位外，其他岗位要求的学历（学位）、职称、执业资格、上岗合格证书、规培合格证书取得时间和年龄、工作经历计算截止时间均为公告发布之日。</w:t>
      </w:r>
    </w:p>
    <w:p>
      <w:pPr>
        <w:spacing w:line="360" w:lineRule="auto"/>
        <w:ind w:firstLine="480" w:firstLineChars="200"/>
        <w:rPr>
          <w:rFonts w:ascii="宋体" w:hAnsi="宋体" w:cs="宋体"/>
          <w:sz w:val="24"/>
          <w:szCs w:val="24"/>
        </w:rPr>
      </w:pPr>
      <w:r>
        <w:rPr>
          <w:rFonts w:hint="eastAsia" w:ascii="宋体" w:hAnsi="宋体" w:cs="宋体"/>
          <w:sz w:val="24"/>
          <w:szCs w:val="24"/>
        </w:rPr>
        <w:t>3、面向社会招收的住院医师如为普通高校应届毕业生的，其住培合格当年在医疗卫生机构就业，按当年应届毕业生同等对待。经住培合格的本科学历临床医师，与临床医学、口腔医学、中医专业学位硕士研究生同等对待（其中住培合格证书中的培训专业原则上应当与招聘岗位的专业或类别要求相一致）。</w:t>
      </w:r>
    </w:p>
    <w:p>
      <w:pPr>
        <w:spacing w:line="360" w:lineRule="auto"/>
        <w:ind w:firstLine="480" w:firstLineChars="200"/>
        <w:rPr>
          <w:rFonts w:ascii="宋体" w:hAnsi="宋体" w:cs="宋体"/>
          <w:sz w:val="24"/>
          <w:szCs w:val="24"/>
        </w:rPr>
      </w:pPr>
      <w:r>
        <w:rPr>
          <w:rFonts w:hint="eastAsia" w:ascii="宋体" w:hAnsi="宋体" w:cs="宋体"/>
          <w:sz w:val="24"/>
          <w:szCs w:val="24"/>
        </w:rPr>
        <w:t>下列情形者视同2024年普通应届毕业生对待：1.2022年、2023年普通高校毕业生（2021年10月1日至2023年9月30日毕业），或同期毕业并可在202</w:t>
      </w:r>
      <w:r>
        <w:rPr>
          <w:rFonts w:hint="default" w:ascii="宋体" w:hAnsi="宋体" w:cs="宋体"/>
          <w:sz w:val="24"/>
          <w:szCs w:val="24"/>
          <w:woUserID w:val="1"/>
        </w:rPr>
        <w:t>3</w:t>
      </w:r>
      <w:bookmarkStart w:id="0" w:name="_GoBack"/>
      <w:bookmarkEnd w:id="0"/>
      <w:r>
        <w:rPr>
          <w:rFonts w:hint="eastAsia" w:ascii="宋体" w:hAnsi="宋体" w:cs="宋体"/>
          <w:sz w:val="24"/>
          <w:szCs w:val="24"/>
        </w:rPr>
        <w:t>年12月底前取得学位证书和国家教育部出具的学历学位认证书的国（境）外留学人员；2.列入国家统招计划，由培养学校统一进行就业推荐和毕业派遣，按培养计划应于2024年毕业，有类似初次就业需求的非全日制研究生（不含在职攻读学历学位人员）；3.按国家政策规定享受应届毕业生就业待遇的其他情形。</w:t>
      </w:r>
    </w:p>
    <w:p>
      <w:pPr>
        <w:spacing w:line="360" w:lineRule="auto"/>
        <w:ind w:firstLine="480" w:firstLineChars="200"/>
        <w:rPr>
          <w:rFonts w:ascii="宋体" w:hAnsi="宋体" w:cs="宋体"/>
          <w:sz w:val="24"/>
          <w:szCs w:val="24"/>
        </w:rPr>
      </w:pPr>
      <w:r>
        <w:rPr>
          <w:rFonts w:hint="eastAsia" w:ascii="宋体" w:hAnsi="宋体" w:cs="宋体"/>
          <w:sz w:val="24"/>
          <w:szCs w:val="24"/>
        </w:rPr>
        <w:t>4、宁波市临床病理诊断中心招聘人员工作地点在该中心，其中：病理诊断岗位人员编制在</w:t>
      </w:r>
      <w:r>
        <w:rPr>
          <w:rFonts w:hint="eastAsia" w:ascii="宋体" w:hAnsi="宋体" w:cs="宋体"/>
          <w:sz w:val="24"/>
          <w:szCs w:val="24"/>
          <w:lang w:eastAsia="zh-CN"/>
        </w:rPr>
        <w:t>宁波</w:t>
      </w:r>
      <w:r>
        <w:rPr>
          <w:rFonts w:hint="eastAsia" w:ascii="宋体" w:hAnsi="宋体" w:cs="宋体"/>
          <w:sz w:val="24"/>
          <w:szCs w:val="24"/>
        </w:rPr>
        <w:t>市医疗中心李惠利医院和宁波大学附属第一医院，生物信息分析和科研岗位人员编制在宁波市妇女儿童医院，由宁波市临床病理诊断中心负责具体招聘工作。</w:t>
      </w:r>
    </w:p>
    <w:sectPr>
      <w:pgSz w:w="11906" w:h="16838"/>
      <w:pgMar w:top="1213" w:right="1800" w:bottom="1213"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00000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altName w:val="汉仪仿宋KW"/>
    <w:panose1 w:val="02010609030101010101"/>
    <w:charset w:val="86"/>
    <w:family w:val="modern"/>
    <w:pitch w:val="default"/>
    <w:sig w:usb0="00000000" w:usb1="00000000" w:usb2="00000000" w:usb3="00000000" w:csb0="00040000" w:csb1="00000000"/>
  </w:font>
  <w:font w:name="楷体2312">
    <w:altName w:val="汉仪楷体KW"/>
    <w:panose1 w:val="00000000000000000000"/>
    <w:charset w:val="00"/>
    <w:family w:val="auto"/>
    <w:pitch w:val="default"/>
    <w:sig w:usb0="00000000" w:usb1="00000000" w:usb2="00000000" w:usb3="00000000" w:csb0="00000000" w:csb1="00000000"/>
  </w:font>
  <w:font w:name="楷体_GB2312">
    <w:altName w:val="汉仪楷体KW"/>
    <w:panose1 w:val="02010609030101010101"/>
    <w:charset w:val="86"/>
    <w:family w:val="modern"/>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BE933B"/>
    <w:multiLevelType w:val="singleLevel"/>
    <w:tmpl w:val="EFBE933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370"/>
    <w:rsid w:val="0000386F"/>
    <w:rsid w:val="00053122"/>
    <w:rsid w:val="000E2318"/>
    <w:rsid w:val="000F4FCB"/>
    <w:rsid w:val="00207C04"/>
    <w:rsid w:val="0027626B"/>
    <w:rsid w:val="002D5B98"/>
    <w:rsid w:val="003A0E09"/>
    <w:rsid w:val="00511852"/>
    <w:rsid w:val="005B20B2"/>
    <w:rsid w:val="00673EE9"/>
    <w:rsid w:val="00684D7F"/>
    <w:rsid w:val="006C7DCE"/>
    <w:rsid w:val="0075656F"/>
    <w:rsid w:val="0077560E"/>
    <w:rsid w:val="009034FA"/>
    <w:rsid w:val="009441F1"/>
    <w:rsid w:val="009F1FD8"/>
    <w:rsid w:val="00AE03AA"/>
    <w:rsid w:val="00B102EE"/>
    <w:rsid w:val="00BA0CE6"/>
    <w:rsid w:val="00BC7709"/>
    <w:rsid w:val="00CB56B4"/>
    <w:rsid w:val="00CD07E9"/>
    <w:rsid w:val="00DB2176"/>
    <w:rsid w:val="00E32F87"/>
    <w:rsid w:val="00E41370"/>
    <w:rsid w:val="00EF6733"/>
    <w:rsid w:val="00F81762"/>
    <w:rsid w:val="012F5D2F"/>
    <w:rsid w:val="01B87777"/>
    <w:rsid w:val="01CA3C49"/>
    <w:rsid w:val="02211F23"/>
    <w:rsid w:val="023B301F"/>
    <w:rsid w:val="026A2319"/>
    <w:rsid w:val="02C46399"/>
    <w:rsid w:val="02CF20CA"/>
    <w:rsid w:val="02D331E9"/>
    <w:rsid w:val="02FE764E"/>
    <w:rsid w:val="03F523A5"/>
    <w:rsid w:val="043C724D"/>
    <w:rsid w:val="04810DFD"/>
    <w:rsid w:val="05213052"/>
    <w:rsid w:val="055F4CD4"/>
    <w:rsid w:val="057C414B"/>
    <w:rsid w:val="05AD0FF6"/>
    <w:rsid w:val="05C871A0"/>
    <w:rsid w:val="05D94024"/>
    <w:rsid w:val="05E614C6"/>
    <w:rsid w:val="064A5978"/>
    <w:rsid w:val="067356BD"/>
    <w:rsid w:val="06D1621E"/>
    <w:rsid w:val="07132F1B"/>
    <w:rsid w:val="07581CC5"/>
    <w:rsid w:val="077C1915"/>
    <w:rsid w:val="078B70CB"/>
    <w:rsid w:val="0900658E"/>
    <w:rsid w:val="09775ACC"/>
    <w:rsid w:val="09923DF6"/>
    <w:rsid w:val="09C85B0D"/>
    <w:rsid w:val="09FB5E87"/>
    <w:rsid w:val="0A2A5929"/>
    <w:rsid w:val="0A86401F"/>
    <w:rsid w:val="0A982008"/>
    <w:rsid w:val="0ABD0D53"/>
    <w:rsid w:val="0AD91093"/>
    <w:rsid w:val="0B501FCB"/>
    <w:rsid w:val="0B6F3D83"/>
    <w:rsid w:val="0B9A30C1"/>
    <w:rsid w:val="0BD66A80"/>
    <w:rsid w:val="0BE316FE"/>
    <w:rsid w:val="0BEA1A71"/>
    <w:rsid w:val="0CC459CA"/>
    <w:rsid w:val="0DD155D2"/>
    <w:rsid w:val="0E1A0DB6"/>
    <w:rsid w:val="0E882557"/>
    <w:rsid w:val="0F661794"/>
    <w:rsid w:val="100666EC"/>
    <w:rsid w:val="107A2F63"/>
    <w:rsid w:val="111225A3"/>
    <w:rsid w:val="11B546D1"/>
    <w:rsid w:val="128817DB"/>
    <w:rsid w:val="130933BA"/>
    <w:rsid w:val="142B5AD0"/>
    <w:rsid w:val="143E1CFB"/>
    <w:rsid w:val="14472332"/>
    <w:rsid w:val="14504FAD"/>
    <w:rsid w:val="153B76CE"/>
    <w:rsid w:val="15CE69E4"/>
    <w:rsid w:val="16B629F1"/>
    <w:rsid w:val="16B84B4F"/>
    <w:rsid w:val="17D269A3"/>
    <w:rsid w:val="17F116A4"/>
    <w:rsid w:val="17FB6EC5"/>
    <w:rsid w:val="18284D56"/>
    <w:rsid w:val="19AB7E75"/>
    <w:rsid w:val="1A2A03E7"/>
    <w:rsid w:val="1A487816"/>
    <w:rsid w:val="1A874AEF"/>
    <w:rsid w:val="1ADB643F"/>
    <w:rsid w:val="1AFA696B"/>
    <w:rsid w:val="1B113EEB"/>
    <w:rsid w:val="1B186743"/>
    <w:rsid w:val="1BBD4B29"/>
    <w:rsid w:val="1BC319BD"/>
    <w:rsid w:val="1C4B1872"/>
    <w:rsid w:val="1C8B3885"/>
    <w:rsid w:val="1CAD4AC5"/>
    <w:rsid w:val="1D730A5C"/>
    <w:rsid w:val="1E05072A"/>
    <w:rsid w:val="1E786CF6"/>
    <w:rsid w:val="1EF4369F"/>
    <w:rsid w:val="203D4721"/>
    <w:rsid w:val="21453DD0"/>
    <w:rsid w:val="21B62A9E"/>
    <w:rsid w:val="22027A49"/>
    <w:rsid w:val="220C5F80"/>
    <w:rsid w:val="222C4B3B"/>
    <w:rsid w:val="23140962"/>
    <w:rsid w:val="23A01437"/>
    <w:rsid w:val="23BA350E"/>
    <w:rsid w:val="23DF46E1"/>
    <w:rsid w:val="24014051"/>
    <w:rsid w:val="242B4BBA"/>
    <w:rsid w:val="245447F2"/>
    <w:rsid w:val="246062DE"/>
    <w:rsid w:val="263853D8"/>
    <w:rsid w:val="26410B24"/>
    <w:rsid w:val="26B46C30"/>
    <w:rsid w:val="271D0CAC"/>
    <w:rsid w:val="27270279"/>
    <w:rsid w:val="274012C1"/>
    <w:rsid w:val="275E4D28"/>
    <w:rsid w:val="277861B9"/>
    <w:rsid w:val="29283DC3"/>
    <w:rsid w:val="29B2394B"/>
    <w:rsid w:val="2A072BB1"/>
    <w:rsid w:val="2A2339D8"/>
    <w:rsid w:val="2A581538"/>
    <w:rsid w:val="2A6309D3"/>
    <w:rsid w:val="2B44594D"/>
    <w:rsid w:val="2B57323D"/>
    <w:rsid w:val="2BD40D39"/>
    <w:rsid w:val="2BFBD23C"/>
    <w:rsid w:val="2D2D3E1B"/>
    <w:rsid w:val="2D553A70"/>
    <w:rsid w:val="2DAF16F6"/>
    <w:rsid w:val="2E717219"/>
    <w:rsid w:val="2F2155ED"/>
    <w:rsid w:val="2F7C5EF0"/>
    <w:rsid w:val="2FA93FE2"/>
    <w:rsid w:val="310819C5"/>
    <w:rsid w:val="310B1209"/>
    <w:rsid w:val="3199501A"/>
    <w:rsid w:val="323E472D"/>
    <w:rsid w:val="34374FF7"/>
    <w:rsid w:val="34406D12"/>
    <w:rsid w:val="351B7342"/>
    <w:rsid w:val="35287A5E"/>
    <w:rsid w:val="359E24B7"/>
    <w:rsid w:val="35BE2504"/>
    <w:rsid w:val="35DD521D"/>
    <w:rsid w:val="35FDCE8B"/>
    <w:rsid w:val="3600715C"/>
    <w:rsid w:val="364607B3"/>
    <w:rsid w:val="36D92FF7"/>
    <w:rsid w:val="373A557C"/>
    <w:rsid w:val="374F7704"/>
    <w:rsid w:val="380363FC"/>
    <w:rsid w:val="389720A3"/>
    <w:rsid w:val="38B346AE"/>
    <w:rsid w:val="38B81EDD"/>
    <w:rsid w:val="3A9C3AEB"/>
    <w:rsid w:val="3C9C2269"/>
    <w:rsid w:val="3D2C0168"/>
    <w:rsid w:val="3E4A5719"/>
    <w:rsid w:val="3F27369F"/>
    <w:rsid w:val="3F532EE2"/>
    <w:rsid w:val="4199783B"/>
    <w:rsid w:val="419A1841"/>
    <w:rsid w:val="41BD4865"/>
    <w:rsid w:val="42C12AC5"/>
    <w:rsid w:val="431F5235"/>
    <w:rsid w:val="43B077FE"/>
    <w:rsid w:val="44342DDE"/>
    <w:rsid w:val="4485461F"/>
    <w:rsid w:val="45AC7E3E"/>
    <w:rsid w:val="46593713"/>
    <w:rsid w:val="46D3055C"/>
    <w:rsid w:val="471821C4"/>
    <w:rsid w:val="4781395B"/>
    <w:rsid w:val="482255D2"/>
    <w:rsid w:val="494D2ED8"/>
    <w:rsid w:val="49746223"/>
    <w:rsid w:val="49762CC1"/>
    <w:rsid w:val="49F86DCB"/>
    <w:rsid w:val="4BA71C9C"/>
    <w:rsid w:val="4CBD3B6D"/>
    <w:rsid w:val="4CE37795"/>
    <w:rsid w:val="4D1824B1"/>
    <w:rsid w:val="4D5E537B"/>
    <w:rsid w:val="4D73596C"/>
    <w:rsid w:val="4D91438F"/>
    <w:rsid w:val="4E19031A"/>
    <w:rsid w:val="4E287646"/>
    <w:rsid w:val="4F0E2D03"/>
    <w:rsid w:val="4F2119C5"/>
    <w:rsid w:val="4F227867"/>
    <w:rsid w:val="4F2A316C"/>
    <w:rsid w:val="4F924DF9"/>
    <w:rsid w:val="4FC36C11"/>
    <w:rsid w:val="50D934B3"/>
    <w:rsid w:val="52105B08"/>
    <w:rsid w:val="52295443"/>
    <w:rsid w:val="527D14E5"/>
    <w:rsid w:val="52B36E0E"/>
    <w:rsid w:val="52FE46EA"/>
    <w:rsid w:val="533114CB"/>
    <w:rsid w:val="54410368"/>
    <w:rsid w:val="54A017B4"/>
    <w:rsid w:val="55730974"/>
    <w:rsid w:val="55AD3DE8"/>
    <w:rsid w:val="55DC5168"/>
    <w:rsid w:val="561B428A"/>
    <w:rsid w:val="562F4871"/>
    <w:rsid w:val="5652138E"/>
    <w:rsid w:val="566E4521"/>
    <w:rsid w:val="571431ED"/>
    <w:rsid w:val="579F46DD"/>
    <w:rsid w:val="57A112EC"/>
    <w:rsid w:val="57BE6932"/>
    <w:rsid w:val="57F440CC"/>
    <w:rsid w:val="58772A93"/>
    <w:rsid w:val="589B3EAD"/>
    <w:rsid w:val="58E46145"/>
    <w:rsid w:val="58E937FA"/>
    <w:rsid w:val="59624E95"/>
    <w:rsid w:val="59FB7504"/>
    <w:rsid w:val="5AA16C0E"/>
    <w:rsid w:val="5B783A2D"/>
    <w:rsid w:val="5C1F60F2"/>
    <w:rsid w:val="5C687FA2"/>
    <w:rsid w:val="5C6E44B9"/>
    <w:rsid w:val="5CE03CB6"/>
    <w:rsid w:val="5CF0522E"/>
    <w:rsid w:val="5DCB067D"/>
    <w:rsid w:val="5E0E7C23"/>
    <w:rsid w:val="5E5C4B85"/>
    <w:rsid w:val="5E933A67"/>
    <w:rsid w:val="5F336F1D"/>
    <w:rsid w:val="5F892FCF"/>
    <w:rsid w:val="5F8E4C0E"/>
    <w:rsid w:val="5F934424"/>
    <w:rsid w:val="5F9F04F0"/>
    <w:rsid w:val="5FE16DEE"/>
    <w:rsid w:val="5FF80ABC"/>
    <w:rsid w:val="60740EE2"/>
    <w:rsid w:val="60F102A1"/>
    <w:rsid w:val="617A51D3"/>
    <w:rsid w:val="61E20C0A"/>
    <w:rsid w:val="62070F51"/>
    <w:rsid w:val="62661E0A"/>
    <w:rsid w:val="62801946"/>
    <w:rsid w:val="63B42A1E"/>
    <w:rsid w:val="64487201"/>
    <w:rsid w:val="64C87AF9"/>
    <w:rsid w:val="65564EE4"/>
    <w:rsid w:val="65EA32B1"/>
    <w:rsid w:val="66154067"/>
    <w:rsid w:val="66CE5A3A"/>
    <w:rsid w:val="66FC68FD"/>
    <w:rsid w:val="673816B6"/>
    <w:rsid w:val="680317D8"/>
    <w:rsid w:val="682A0840"/>
    <w:rsid w:val="684647B4"/>
    <w:rsid w:val="68816490"/>
    <w:rsid w:val="688732DC"/>
    <w:rsid w:val="688A02C0"/>
    <w:rsid w:val="698474C0"/>
    <w:rsid w:val="69B361C1"/>
    <w:rsid w:val="69E87D24"/>
    <w:rsid w:val="6B68574C"/>
    <w:rsid w:val="6B89064B"/>
    <w:rsid w:val="6BA978D5"/>
    <w:rsid w:val="6BF222A8"/>
    <w:rsid w:val="6C3D3C61"/>
    <w:rsid w:val="6CFE02A9"/>
    <w:rsid w:val="6D5C2ABC"/>
    <w:rsid w:val="6E7E1D8C"/>
    <w:rsid w:val="6E8827E8"/>
    <w:rsid w:val="6E974D09"/>
    <w:rsid w:val="6E9E7F6A"/>
    <w:rsid w:val="6F1246C9"/>
    <w:rsid w:val="6F797B48"/>
    <w:rsid w:val="700D3EC4"/>
    <w:rsid w:val="70263CFE"/>
    <w:rsid w:val="70757193"/>
    <w:rsid w:val="70BE127A"/>
    <w:rsid w:val="70E42D41"/>
    <w:rsid w:val="716E3578"/>
    <w:rsid w:val="71814ABC"/>
    <w:rsid w:val="718A3D1B"/>
    <w:rsid w:val="721733CF"/>
    <w:rsid w:val="72BC7AC9"/>
    <w:rsid w:val="73060BA8"/>
    <w:rsid w:val="75DA21FC"/>
    <w:rsid w:val="7607293A"/>
    <w:rsid w:val="77DD6CB3"/>
    <w:rsid w:val="77F61CA1"/>
    <w:rsid w:val="780361AA"/>
    <w:rsid w:val="78220926"/>
    <w:rsid w:val="784642C6"/>
    <w:rsid w:val="78D704D3"/>
    <w:rsid w:val="79264D11"/>
    <w:rsid w:val="7998564A"/>
    <w:rsid w:val="79ED5709"/>
    <w:rsid w:val="7A324BE0"/>
    <w:rsid w:val="7A591925"/>
    <w:rsid w:val="7B092063"/>
    <w:rsid w:val="7B2F0041"/>
    <w:rsid w:val="7B6F3FE1"/>
    <w:rsid w:val="7C066BA5"/>
    <w:rsid w:val="7C5548C0"/>
    <w:rsid w:val="7C97DC63"/>
    <w:rsid w:val="7CBE17F7"/>
    <w:rsid w:val="7CF357E2"/>
    <w:rsid w:val="7D00204B"/>
    <w:rsid w:val="7E004204"/>
    <w:rsid w:val="7E0904D5"/>
    <w:rsid w:val="7EC36B3A"/>
    <w:rsid w:val="7F50738C"/>
    <w:rsid w:val="7FBFCD34"/>
    <w:rsid w:val="7FF347E4"/>
    <w:rsid w:val="A55CB0BB"/>
    <w:rsid w:val="BFE9CDD4"/>
    <w:rsid w:val="D1FF3AA1"/>
    <w:rsid w:val="E895FC9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paragraph" w:customStyle="1" w:styleId="6">
    <w:name w:val="_Style 5"/>
    <w:basedOn w:val="1"/>
    <w:qFormat/>
    <w:uiPriority w:val="0"/>
    <w:rPr>
      <w:rFonts w:ascii="仿宋_GB2312" w:eastAsia="仿宋_GB2312"/>
      <w:b/>
      <w:sz w:val="32"/>
      <w:szCs w:val="32"/>
    </w:rPr>
  </w:style>
  <w:style w:type="character" w:customStyle="1" w:styleId="7">
    <w:name w:val="detail_title1"/>
    <w:basedOn w:val="5"/>
    <w:qFormat/>
    <w:uiPriority w:val="0"/>
    <w:rPr>
      <w:bCs/>
      <w:sz w:val="27"/>
      <w:szCs w:val="27"/>
    </w:rPr>
  </w:style>
  <w:style w:type="character" w:customStyle="1" w:styleId="8">
    <w:name w:val="font21"/>
    <w:basedOn w:val="5"/>
    <w:qFormat/>
    <w:uiPriority w:val="0"/>
    <w:rPr>
      <w:rFonts w:ascii="楷体2312" w:hAnsi="楷体2312" w:eastAsia="楷体2312" w:cs="楷体2312"/>
      <w:color w:val="000000"/>
      <w:sz w:val="24"/>
      <w:szCs w:val="24"/>
      <w:u w:val="none"/>
    </w:rPr>
  </w:style>
  <w:style w:type="character" w:customStyle="1" w:styleId="9">
    <w:name w:val="font01"/>
    <w:basedOn w:val="5"/>
    <w:qFormat/>
    <w:uiPriority w:val="0"/>
    <w:rPr>
      <w:rFonts w:hint="eastAsia" w:ascii="楷体_GB2312" w:eastAsia="楷体_GB2312" w:cs="楷体_GB2312"/>
      <w:color w:val="000000"/>
      <w:sz w:val="24"/>
      <w:szCs w:val="24"/>
      <w:u w:val="none"/>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864</Words>
  <Characters>4925</Characters>
  <Lines>41</Lines>
  <Paragraphs>11</Paragraphs>
  <TotalTime>46</TotalTime>
  <ScaleCrop>false</ScaleCrop>
  <LinksUpToDate>false</LinksUpToDate>
  <CharactersWithSpaces>5778</CharactersWithSpaces>
  <Application>WWO_openplatform_20210507165418-e6971cd0a6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2021-09-27T04:11:00Z</dcterms:created>
  <dc:creator>阮 琼</dc:creator>
  <cp:lastModifiedBy>Administrator</cp:lastModifiedBy>
  <cp:lastPrinted>2023-10-18T15:39:00Z</cp:lastPrinted>
  <dcterms:modified xsi:type="dcterms:W3CDTF">2023-10-19T17:26:41Z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