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9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漯河市督查评估服务中心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2023年招才引智引进人才计划表</w:t>
      </w:r>
    </w:p>
    <w:tbl>
      <w:tblPr>
        <w:tblStyle w:val="2"/>
        <w:tblW w:w="13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393"/>
        <w:gridCol w:w="960"/>
        <w:gridCol w:w="1670"/>
        <w:gridCol w:w="3682"/>
        <w:gridCol w:w="2028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8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    格    条   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</w:pPr>
          </w:p>
        </w:tc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漯河市督查评估服务中心管理岗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30周岁以下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硕士研究生及以上学历学位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计算机科学与技术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漯河市督查评估服务中心管理岗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30周岁以下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硕士研究生及以上学历学位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经济学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漯河市督查评估服务中心管理岗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30周岁以下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硕士研究生及以上学历学位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法学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中共党员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U0Y2M2NjVjN2EzNGU4NzEzZTBkMzE5NGZkNzcifQ=="/>
  </w:docVars>
  <w:rsids>
    <w:rsidRoot w:val="3B1517B2"/>
    <w:rsid w:val="3B1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2023-10-24T01:33:00Z</dcterms:created>
  <dc:creator>WPS_1648018016</dc:creator>
  <cp:lastModifiedBy>WPS_1648018016</cp:lastModifiedBy>
  <dcterms:modified xsi:type="dcterms:W3CDTF">2023-10-24T01:33:42Z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5EA84CFEA2CD48BAA1246ABC087C5EFF_11</vt:lpwstr>
  </property>
</Properties>
</file>