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00" w:type="dxa"/>
        <w:tblInd w:w="2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1620"/>
        <w:gridCol w:w="1475"/>
        <w:gridCol w:w="2815"/>
        <w:gridCol w:w="2156"/>
        <w:gridCol w:w="2134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漯河市民族宗教事务局所属事业单位2023年招才引智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引进人才计划表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拟招聘（引进）人数</w:t>
            </w:r>
          </w:p>
        </w:tc>
        <w:tc>
          <w:tcPr>
            <w:tcW w:w="8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     格     条    件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漯河市宗教团体联络服务中心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“双一流”建设高校硕士研究生及以上学历学位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网络空间安全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本硕专业一致或相近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ODVmMGZjMjc3YWI2YWZhNGQ2M2UyNGMxODVmNDYifQ=="/>
  </w:docVars>
  <w:rsids>
    <w:rsidRoot w:val="00000000"/>
    <w:rsid w:val="4424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2023-10-30T03:55:09Z</dcterms:created>
  <dc:creator>pc</dc:creator>
  <cp:lastModifiedBy>羊大凯</cp:lastModifiedBy>
  <dcterms:modified xsi:type="dcterms:W3CDTF">2023-10-30T03:55:40Z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0A27B68DEECF41488B9A6DEF77B0BEFC_12</vt:lpwstr>
  </property>
</Properties>
</file>