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0"/>
        <w:jc w:val="left"/>
        <w:rPr>
          <w:rFonts w:hint="eastAsia" w:ascii="Times New Roman" w:hAnsi="Times New Roman" w:cs="Times New Roman"/>
          <w:kern w:val="0"/>
          <w:shd w:val="clear" w:color="auto" w:fill="FFFFFF"/>
        </w:rPr>
      </w:pPr>
    </w:p>
    <w:tbl>
      <w:tblPr>
        <w:tblStyle w:val="4"/>
        <w:tblW w:w="20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93"/>
        <w:gridCol w:w="733"/>
        <w:gridCol w:w="817"/>
        <w:gridCol w:w="1835"/>
        <w:gridCol w:w="1129"/>
        <w:gridCol w:w="2946"/>
        <w:gridCol w:w="1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45" w:type="dxa"/>
            <w:gridSpan w:val="7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kern w:val="0"/>
                <w:sz w:val="36"/>
              </w:rPr>
            </w:pPr>
            <w:r>
              <w:rPr>
                <w:rFonts w:hint="eastAsia" w:ascii="黑体" w:hAnsi="黑体" w:eastAsia="黑体"/>
                <w:kern w:val="0"/>
                <w:szCs w:val="30"/>
              </w:rPr>
              <w:t>附件1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Times New Roman" w:eastAsia="方正小标宋_GBK"/>
                <w:kern w:val="0"/>
                <w:sz w:val="44"/>
                <w:szCs w:val="44"/>
              </w:rPr>
              <w:t>广州市</w:t>
            </w:r>
            <w:r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</w:rPr>
              <w:t>天河区民政局</w:t>
            </w:r>
            <w:r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</w:rPr>
              <w:t>年</w:t>
            </w:r>
            <w:r>
              <w:rPr>
                <w:rFonts w:ascii="方正小标宋_GBK" w:hAnsi="Times New Roman" w:eastAsia="方正小标宋_GBK"/>
                <w:kern w:val="0"/>
                <w:sz w:val="44"/>
                <w:szCs w:val="44"/>
              </w:rPr>
              <w:t>公开招聘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Times New Roman" w:eastAsia="方正小标宋_GBK"/>
                <w:kern w:val="0"/>
                <w:sz w:val="44"/>
                <w:szCs w:val="44"/>
              </w:rPr>
              <w:t>编外合同制工作人员</w:t>
            </w:r>
            <w:r>
              <w:rPr>
                <w:rFonts w:ascii="方正小标宋_GBK" w:hAnsi="Times New Roman" w:eastAsia="方正小标宋_GBK"/>
                <w:kern w:val="0"/>
                <w:sz w:val="44"/>
                <w:szCs w:val="44"/>
              </w:rPr>
              <w:t>职位表</w:t>
            </w:r>
          </w:p>
        </w:tc>
        <w:tc>
          <w:tcPr>
            <w:tcW w:w="1190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   格   条   件</w:t>
            </w:r>
          </w:p>
        </w:tc>
        <w:tc>
          <w:tcPr>
            <w:tcW w:w="1190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1190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hAnsi="Times New Roman"/>
                <w:kern w:val="0"/>
                <w:lang w:val="en-US" w:eastAsia="zh-CN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/>
                <w:kern w:val="0"/>
                <w:lang w:eastAsia="zh-CN"/>
              </w:rPr>
            </w:pPr>
            <w:r>
              <w:rPr>
                <w:rFonts w:hint="eastAsia" w:hAnsi="Times New Roman"/>
                <w:kern w:val="0"/>
                <w:lang w:val="en-US" w:eastAsia="zh-CN"/>
              </w:rPr>
              <w:t>流动救助服务专职</w:t>
            </w:r>
            <w:r>
              <w:rPr>
                <w:rFonts w:hint="eastAsia" w:hAnsi="Times New Roman"/>
                <w:kern w:val="0"/>
                <w:lang w:eastAsia="zh-CN"/>
              </w:rPr>
              <w:t>人员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行政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辅助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lang w:val="en-US" w:eastAsia="zh-CN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会计学（B120203）、法学类（B0301）、新闻学（B050301）、播音与主持艺术（B050609）、建筑学（B081001、C0817）、计算机类（B0809）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大专、全日制本科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1、熟悉电脑操作；</w:t>
            </w:r>
          </w:p>
          <w:p>
            <w:pPr>
              <w:widowControl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2、具有两年以上工作经历在同等条件下优先考虑，工作年限计算截止日期为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日（含当日）；</w:t>
            </w:r>
          </w:p>
          <w:p>
            <w:pPr>
              <w:widowControl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3、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20日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前已获得学历学位证书。</w:t>
            </w:r>
          </w:p>
          <w:p>
            <w:pPr>
              <w:widowControl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4、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18周岁至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35周岁，年龄计算截止日期为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日（含当日）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5、具有退伍证、驾驶证、社工证在同等条件下优先考虑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rPr>
          <w:rFonts w:hint="eastAsia" w:hAnsi="华文中宋"/>
          <w:spacing w:val="-20"/>
          <w:u w:val="wave" w:color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eastAsia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57C88"/>
    <w:rsid w:val="33C57C88"/>
    <w:rsid w:val="6E0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2023-11-20T03:24:00Z</dcterms:created>
  <dc:creator>赵丹仪</dc:creator>
  <cp:lastModifiedBy>赵丹仪</cp:lastModifiedBy>
  <dcterms:modified xsi:type="dcterms:W3CDTF">2023-11-20T03:35:19Z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