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273" w:lineRule="auto"/>
        <w:ind w:right="-182" w:firstLine="160" w:firstLineChars="50"/>
        <w:rPr>
          <w:rFonts w:ascii="仿宋_GB2312" w:eastAsia="仿宋_GB2312"/>
          <w:sz w:val="32"/>
          <w:szCs w:val="32"/>
        </w:rPr>
      </w:pPr>
      <w:bookmarkStart w:id="0" w:name="bookmark8"/>
      <w:bookmarkStart w:id="1" w:name="bookmark6"/>
      <w:bookmarkStart w:id="2" w:name="bookmark7"/>
      <w:r>
        <w:rPr>
          <w:rFonts w:hint="eastAsia" w:ascii="仿宋_GB2312" w:eastAsia="仿宋_GB2312"/>
          <w:sz w:val="32"/>
          <w:szCs w:val="32"/>
        </w:rPr>
        <w:t>附</w:t>
      </w:r>
      <w:r>
        <w:rPr>
          <w:rFonts w:ascii="仿宋_GB2312" w:eastAsia="仿宋_GB2312"/>
          <w:sz w:val="32"/>
          <w:szCs w:val="32"/>
          <w:lang w:eastAsia="zh-CN"/>
        </w:rPr>
        <w:t>5</w:t>
      </w:r>
      <w:r>
        <w:rPr>
          <w:rFonts w:hint="eastAsia" w:ascii="仿宋_GB2312" w:eastAsia="仿宋_GB2312"/>
          <w:sz w:val="32"/>
          <w:szCs w:val="32"/>
        </w:rPr>
        <w:t>：</w:t>
      </w:r>
    </w:p>
    <w:p>
      <w:pPr>
        <w:widowControl/>
        <w:jc w:val="center"/>
        <w:rPr>
          <w:rFonts w:ascii="方正小标宋简体" w:hAnsi="宋体" w:eastAsia="方正小标宋简体" w:cs="宋体"/>
          <w:color w:val="auto"/>
          <w:sz w:val="44"/>
          <w:szCs w:val="44"/>
          <w:lang w:eastAsia="zh-CN"/>
        </w:rPr>
      </w:pPr>
      <w:r>
        <w:rPr>
          <w:rFonts w:hint="eastAsia" w:ascii="方正小标宋简体" w:hAnsi="宋体" w:eastAsia="方正小标宋简体" w:cs="宋体"/>
          <w:color w:val="auto"/>
          <w:sz w:val="44"/>
          <w:szCs w:val="44"/>
          <w:lang w:eastAsia="zh-CN"/>
        </w:rPr>
        <w:t>海安市卫生健康人才引进奖励政策</w:t>
      </w:r>
    </w:p>
    <w:bookmarkEnd w:id="0"/>
    <w:bookmarkEnd w:id="1"/>
    <w:bookmarkEnd w:id="2"/>
    <w:p>
      <w:pPr>
        <w:snapToGrid w:val="0"/>
        <w:spacing w:line="560" w:lineRule="exact"/>
        <w:ind w:firstLine="640" w:firstLineChars="200"/>
        <w:textAlignment w:val="baseline"/>
        <w:rPr>
          <w:rFonts w:ascii="仿宋_GB2312" w:eastAsia="仿宋_GB2312"/>
          <w:sz w:val="32"/>
          <w:szCs w:val="32"/>
          <w:lang w:eastAsia="zh-CN"/>
        </w:rPr>
      </w:pPr>
    </w:p>
    <w:p>
      <w:pPr>
        <w:snapToGrid w:val="0"/>
        <w:spacing w:line="560" w:lineRule="exact"/>
        <w:ind w:firstLine="640" w:firstLineChars="200"/>
        <w:textAlignment w:val="baseline"/>
        <w:rPr>
          <w:rFonts w:ascii="仿宋_GB2312" w:hAnsi="仿宋_GB2312" w:eastAsia="仿宋_GB2312" w:cs="仿宋_GB2312"/>
          <w:sz w:val="32"/>
          <w:szCs w:val="32"/>
          <w:lang w:eastAsia="zh-CN"/>
        </w:rPr>
      </w:pPr>
      <w:r>
        <w:rPr>
          <w:rFonts w:ascii="仿宋_GB2312" w:eastAsia="仿宋_GB2312"/>
          <w:sz w:val="32"/>
          <w:szCs w:val="32"/>
          <w:lang w:eastAsia="zh-CN"/>
        </w:rPr>
        <w:t>1.</w:t>
      </w:r>
      <w:r>
        <w:rPr>
          <w:rFonts w:hint="eastAsia" w:ascii="仿宋_GB2312" w:hAnsi="仿宋_GB2312" w:eastAsia="仿宋_GB2312" w:cs="仿宋_GB2312"/>
          <w:sz w:val="32"/>
          <w:szCs w:val="32"/>
          <w:lang w:eastAsia="zh-CN"/>
        </w:rPr>
        <w:t>引进的医学类全日制普通高校博士毕业生（具备学历证书和学位证书）</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与用人单位签订</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年以上工作协议的（不含规培时间）</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试用期结束后，给予</w:t>
      </w:r>
      <w:r>
        <w:rPr>
          <w:rFonts w:ascii="仿宋_GB2312" w:hAnsi="仿宋_GB2312" w:eastAsia="仿宋_GB2312" w:cs="仿宋_GB2312"/>
          <w:sz w:val="32"/>
          <w:szCs w:val="32"/>
          <w:lang w:eastAsia="zh-CN"/>
        </w:rPr>
        <w:t>100</w:t>
      </w:r>
      <w:r>
        <w:rPr>
          <w:rFonts w:hint="eastAsia" w:ascii="仿宋_GB2312" w:hAnsi="仿宋_GB2312" w:eastAsia="仿宋_GB2312" w:cs="仿宋_GB2312"/>
          <w:sz w:val="32"/>
          <w:szCs w:val="32"/>
          <w:lang w:eastAsia="zh-CN"/>
        </w:rPr>
        <w:t>万元生活补贴，分</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年兑付。</w:t>
      </w:r>
    </w:p>
    <w:p>
      <w:pPr>
        <w:pStyle w:val="13"/>
        <w:tabs>
          <w:tab w:val="left" w:pos="1027"/>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引进的医学类全日制普通高校硕士毕业生（具备学历证书和学位证书），与用人单位签订</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年以上工作协议的（不含规培时间），试用期结束后，</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年内给予</w:t>
      </w:r>
      <w:r>
        <w:rPr>
          <w:rFonts w:ascii="仿宋_GB2312" w:hAnsi="仿宋_GB2312" w:eastAsia="仿宋_GB2312" w:cs="仿宋_GB2312"/>
          <w:sz w:val="32"/>
          <w:szCs w:val="32"/>
          <w:lang w:eastAsia="zh-CN"/>
        </w:rPr>
        <w:t>2000</w:t>
      </w:r>
      <w:r>
        <w:rPr>
          <w:rFonts w:hint="eastAsia" w:ascii="仿宋_GB2312" w:hAnsi="仿宋_GB2312" w:eastAsia="仿宋_GB2312" w:cs="仿宋_GB2312"/>
          <w:sz w:val="32"/>
          <w:szCs w:val="32"/>
          <w:lang w:eastAsia="zh-CN"/>
        </w:rPr>
        <w:t>元</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月生活补贴。</w:t>
      </w:r>
    </w:p>
    <w:p>
      <w:pPr>
        <w:pStyle w:val="13"/>
        <w:tabs>
          <w:tab w:val="left" w:pos="1027"/>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市人民医院、中医院、妇幼保健院引进的急诊医学、儿科专业岗位全日制普通高校本科毕业生，市第三人民医院引进的精神医学专业岗位全日制普通高校本科毕业生，市皮肤病医院引进的皮肤病与性病学专业岗位全日制普通高校本科毕业生，签订</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年以上工作协议的（不含规培时间），试用期结束后，</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年内给予</w:t>
      </w:r>
      <w:r>
        <w:rPr>
          <w:rFonts w:ascii="仿宋_GB2312" w:hAnsi="仿宋_GB2312" w:eastAsia="仿宋_GB2312" w:cs="仿宋_GB2312"/>
          <w:sz w:val="32"/>
          <w:szCs w:val="32"/>
          <w:lang w:eastAsia="zh-CN"/>
        </w:rPr>
        <w:t>1000</w:t>
      </w:r>
      <w:r>
        <w:rPr>
          <w:rFonts w:hint="eastAsia" w:ascii="仿宋_GB2312" w:hAnsi="仿宋_GB2312" w:eastAsia="仿宋_GB2312" w:cs="仿宋_GB2312"/>
          <w:sz w:val="32"/>
          <w:szCs w:val="32"/>
          <w:lang w:eastAsia="zh-CN"/>
        </w:rPr>
        <w:t>元</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月生活补贴。</w:t>
      </w:r>
    </w:p>
    <w:p>
      <w:pPr>
        <w:pStyle w:val="13"/>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bookmarkStart w:id="3" w:name="bookmark17"/>
      <w:bookmarkEnd w:id="3"/>
      <w:bookmarkStart w:id="4" w:name="bookmark18"/>
      <w:bookmarkEnd w:id="4"/>
      <w:bookmarkStart w:id="5" w:name="bookmark20"/>
      <w:bookmarkEnd w:id="5"/>
      <w:bookmarkStart w:id="6" w:name="bookmark19"/>
      <w:bookmarkEnd w:id="6"/>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二级乡镇（中心）卫生院引进的医学类全日制普通高校本科毕业生（执业医师类），入编后与单位签订</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年以上工作协议的（不含规培时间），取得执业医师资格后，</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年内给予</w:t>
      </w:r>
      <w:r>
        <w:rPr>
          <w:rFonts w:ascii="仿宋_GB2312" w:hAnsi="仿宋_GB2312" w:eastAsia="仿宋_GB2312" w:cs="仿宋_GB2312"/>
          <w:sz w:val="32"/>
          <w:szCs w:val="32"/>
          <w:lang w:eastAsia="zh-CN"/>
        </w:rPr>
        <w:t>1000</w:t>
      </w:r>
      <w:r>
        <w:rPr>
          <w:rFonts w:hint="eastAsia" w:ascii="仿宋_GB2312" w:hAnsi="仿宋_GB2312" w:eastAsia="仿宋_GB2312" w:cs="仿宋_GB2312"/>
          <w:sz w:val="32"/>
          <w:szCs w:val="32"/>
          <w:lang w:eastAsia="zh-CN"/>
        </w:rPr>
        <w:t>元</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月生活补贴。</w:t>
      </w:r>
    </w:p>
    <w:p>
      <w:pPr>
        <w:pStyle w:val="13"/>
        <w:tabs>
          <w:tab w:val="left" w:pos="1139"/>
        </w:tabs>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5</w:t>
      </w:r>
      <w:r>
        <w:rPr>
          <w:rFonts w:ascii="仿宋_GB2312" w:hAnsi="仿宋_GB2312" w:eastAsia="PMingLiUfalt" w:cs="仿宋_GB2312"/>
          <w:sz w:val="32"/>
          <w:szCs w:val="32"/>
        </w:rPr>
        <w:t>.</w:t>
      </w:r>
      <w:r>
        <w:rPr>
          <w:rFonts w:hint="eastAsia" w:ascii="仿宋_GB2312" w:hAnsi="仿宋_GB2312" w:eastAsia="仿宋_GB2312" w:cs="仿宋_GB2312"/>
          <w:sz w:val="32"/>
          <w:szCs w:val="32"/>
          <w:lang w:eastAsia="zh-CN"/>
        </w:rPr>
        <w:t>一级乡镇（中心）卫生院引进的医学类全日制普通高校本科、专科毕业生（执业医师类），入编后与单位签订</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年以上工作协议的（不含规培时间），取得执业（助理）医师资格后，</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年内分别给予</w:t>
      </w:r>
      <w:r>
        <w:rPr>
          <w:rFonts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元</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月、</w:t>
      </w:r>
      <w:r>
        <w:rPr>
          <w:rFonts w:ascii="仿宋_GB2312" w:hAnsi="仿宋_GB2312" w:eastAsia="仿宋_GB2312" w:cs="仿宋_GB2312"/>
          <w:sz w:val="32"/>
          <w:szCs w:val="32"/>
          <w:lang w:eastAsia="zh-CN"/>
        </w:rPr>
        <w:t>500</w:t>
      </w:r>
      <w:r>
        <w:rPr>
          <w:rFonts w:hint="eastAsia" w:ascii="仿宋_GB2312" w:hAnsi="仿宋_GB2312" w:eastAsia="仿宋_GB2312" w:cs="仿宋_GB2312"/>
          <w:sz w:val="32"/>
          <w:szCs w:val="32"/>
          <w:lang w:eastAsia="zh-CN"/>
        </w:rPr>
        <w:t>元</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月生活补贴。</w:t>
      </w:r>
    </w:p>
    <w:p>
      <w:pPr>
        <w:pStyle w:val="13"/>
        <w:tabs>
          <w:tab w:val="left" w:pos="1139"/>
        </w:tabs>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lang w:val="en-US" w:eastAsia="zh-CN"/>
        </w:rPr>
        <w:t>引进的已具备住院</w:t>
      </w:r>
      <w:r>
        <w:rPr>
          <w:rFonts w:hint="eastAsia" w:ascii="仿宋_GB2312" w:hAnsi="仿宋_GB2312" w:eastAsia="仿宋_GB2312" w:cs="仿宋_GB2312"/>
          <w:sz w:val="32"/>
          <w:szCs w:val="32"/>
          <w:lang w:val="en-US" w:eastAsia="zh-CN"/>
        </w:rPr>
        <w:t>医师规范化培训合格证书的临床医师类全日制普通高校本科毕业生，与用人单位签订 5 年以上工作协议的，试用期结束后，5年内给予 2000 元/月生活补贴。</w:t>
      </w:r>
    </w:p>
    <w:p>
      <w:pPr>
        <w:pStyle w:val="13"/>
        <w:tabs>
          <w:tab w:val="left" w:pos="1139"/>
        </w:tabs>
        <w:snapToGrid w:val="0"/>
        <w:spacing w:line="560" w:lineRule="exact"/>
        <w:ind w:firstLine="640" w:firstLineChars="200"/>
        <w:jc w:val="both"/>
        <w:textAlignment w:val="baseline"/>
        <w:rPr>
          <w:rFonts w:ascii="仿宋_GB2312" w:hAnsi="仿宋_GB2312" w:eastAsia="仿宋_GB2312" w:cs="仿宋_GB2312"/>
          <w:sz w:val="32"/>
          <w:szCs w:val="32"/>
          <w:lang w:eastAsia="zh-CN"/>
        </w:rPr>
      </w:pPr>
      <w:bookmarkStart w:id="7" w:name="bookmark22"/>
      <w:bookmarkEnd w:id="7"/>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卫生高层次人才、紧缺岗位卫生人才和基层卫生人才同等参加单位岗位聘用，并兑现相应工资待遇，缴纳社会保险、住房公积金、职业年金等，在海安首购商品房的，购房补助参照我市产业人才相关补助标准执行。医学人才在规培期间不享受人才引进相关补助待遇。引进的人才工作未满服务期限要求调离或辞职的，需退还引进人才所有费用。定向培养的学生不纳入引进范畴。</w:t>
      </w:r>
    </w:p>
    <w:p>
      <w:pPr>
        <w:keepNext w:val="0"/>
        <w:keepLines w:val="0"/>
        <w:widowControl/>
        <w:suppressLineNumbers w:val="0"/>
        <w:jc w:val="left"/>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摘自：海安市委办公室</w:t>
      </w:r>
      <w:r>
        <w:rPr>
          <w:rFonts w:ascii="仿宋_GB2312" w:hAnsi="仿宋_GB2312" w:eastAsia="仿宋_GB2312" w:cs="仿宋_GB2312"/>
          <w:sz w:val="32"/>
          <w:szCs w:val="32"/>
          <w:lang w:val="zh-TW" w:eastAsia="zh-CN"/>
        </w:rPr>
        <w:t xml:space="preserve"> </w:t>
      </w:r>
      <w:r>
        <w:rPr>
          <w:rFonts w:hint="eastAsia" w:ascii="仿宋_GB2312" w:hAnsi="仿宋_GB2312" w:eastAsia="仿宋_GB2312" w:cs="仿宋_GB2312"/>
          <w:sz w:val="32"/>
          <w:szCs w:val="32"/>
          <w:lang w:val="zh-TW" w:eastAsia="zh-CN"/>
        </w:rPr>
        <w:t>市政府办公室《关于进一步加强卫生健康人才引进培养工作的实施意见》（海办〔</w:t>
      </w:r>
      <w:r>
        <w:rPr>
          <w:rFonts w:ascii="仿宋_GB2312" w:hAnsi="仿宋_GB2312" w:eastAsia="仿宋_GB2312" w:cs="仿宋_GB2312"/>
          <w:sz w:val="32"/>
          <w:szCs w:val="32"/>
          <w:lang w:val="zh-TW" w:eastAsia="zh-CN"/>
        </w:rPr>
        <w:t>2021</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lang w:val="zh-TW" w:eastAsia="zh-CN"/>
        </w:rPr>
        <w:t>121</w:t>
      </w:r>
      <w:r>
        <w:rPr>
          <w:rFonts w:hint="eastAsia" w:ascii="仿宋_GB2312" w:hAnsi="仿宋_GB2312" w:eastAsia="仿宋_GB2312" w:cs="仿宋_GB2312"/>
          <w:sz w:val="32"/>
          <w:szCs w:val="32"/>
          <w:lang w:val="zh-TW" w:eastAsia="zh-CN"/>
        </w:rPr>
        <w:t>号）、市委办公室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TW" w:eastAsia="zh-CN"/>
        </w:rPr>
        <w:t>市政府办公室《关于进一步优化卫生健康人才引进培养工作补充意见的通知》（</w:t>
      </w:r>
      <w:r>
        <w:rPr>
          <w:rFonts w:hint="eastAsia" w:ascii="仿宋_GB2312" w:hAnsi="仿宋_GB2312" w:eastAsia="仿宋_GB2312" w:cs="仿宋_GB2312"/>
          <w:sz w:val="32"/>
          <w:szCs w:val="32"/>
          <w:lang w:val="en-US" w:eastAsia="zh-CN"/>
        </w:rPr>
        <w:t>海办〔2023〕45 号</w:t>
      </w:r>
      <w:r>
        <w:rPr>
          <w:rFonts w:hint="eastAsia" w:ascii="仿宋_GB2312" w:hAnsi="仿宋_GB2312" w:eastAsia="仿宋_GB2312" w:cs="仿宋_GB2312"/>
          <w:sz w:val="32"/>
          <w:szCs w:val="32"/>
          <w:lang w:val="zh-TW" w:eastAsia="zh-CN"/>
        </w:rPr>
        <w:t>）。</w:t>
      </w:r>
    </w:p>
    <w:p>
      <w:pPr>
        <w:keepNext w:val="0"/>
        <w:keepLines w:val="0"/>
        <w:widowControl/>
        <w:suppressLineNumbers w:val="0"/>
        <w:jc w:val="left"/>
        <w:rPr>
          <w:rFonts w:hint="eastAsia" w:ascii="仿宋_GB2312" w:hAnsi="仿宋_GB2312" w:eastAsia="仿宋_GB2312" w:cs="仿宋_GB2312"/>
          <w:sz w:val="32"/>
          <w:szCs w:val="32"/>
          <w:lang w:val="en-US" w:eastAsia="zh-CN"/>
        </w:rPr>
      </w:pPr>
      <w:bookmarkStart w:id="8" w:name="_GoBack"/>
      <w:bookmarkEnd w:id="8"/>
    </w:p>
    <w:sectPr>
      <w:footerReference r:id="rId5" w:type="first"/>
      <w:footerReference r:id="rId3" w:type="default"/>
      <w:footerReference r:id="rId4" w:type="even"/>
      <w:pgSz w:w="11900" w:h="16840"/>
      <w:pgMar w:top="1701" w:right="1701" w:bottom="1701" w:left="1701" w:header="794" w:footer="1077"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PMingLiUfalt">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w:pict>
        <v:rect id="文本框 2" o:spid="_x0000_s4098" o:spt="1"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3"/>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rect>
      </w:pict>
    </w:r>
    <w:r>
      <w:rPr>
        <w:lang w:eastAsia="zh-CN"/>
      </w:rPr>
      <w:pict>
        <v:shape id="Shape 17" o:spid="_x0000_s4099" o:spt="32" type="#_x0000_t32" style="position:absolute;left:0pt;margin-left:68.4pt;margin-top:745.9pt;height:0.05pt;width:438.7pt;mso-position-horizontal-relative:page;mso-position-vertical-relative:page;z-index:-251657216;mso-width-relative:page;mso-height-relative:page;" filled="f" stroked="t" coordsize="21600,21600">
          <v:path arrowok="t"/>
          <v:fill on="f" focussize="0,0"/>
          <v:stroke weight="1pt" color="#FFFFFF"/>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w:pict>
        <v:rect id="文本框 3" o:spid="_x0000_s4100" o:spt="1"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v:textbox inset="0mm,0mm,0mm,0mm" style="mso-fit-shape-to-text:t;">
            <w:txbxContent>
              <w:p>
                <w:pPr>
                  <w:pStyle w:val="3"/>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w:pict>
        <v:rect id="文本框 4" o:spid="_x0000_s4097" o:spt="1"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v:textbox inset="0mm,0mm,0mm,0mm" style="mso-fit-shape-to-text:t;">
            <w:txbxContent>
              <w:p>
                <w:pPr>
                  <w:pStyle w:val="3"/>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Shape 17"/>
      </o:rules>
    </o:shapelayout>
  </w:hdrShapeDefault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5NWY1OWIxOTcwMzcxYjQ0YmQ4NjllMjkwNGVjMTcifQ=="/>
  </w:docVars>
  <w:rsids>
    <w:rsidRoot w:val="00F866EE"/>
    <w:rsid w:val="000069DE"/>
    <w:rsid w:val="00017CE4"/>
    <w:rsid w:val="00020352"/>
    <w:rsid w:val="000537E4"/>
    <w:rsid w:val="000569DE"/>
    <w:rsid w:val="00056E8A"/>
    <w:rsid w:val="0006562E"/>
    <w:rsid w:val="00093348"/>
    <w:rsid w:val="000C050A"/>
    <w:rsid w:val="000C4D6A"/>
    <w:rsid w:val="000D0CEB"/>
    <w:rsid w:val="000D1A5B"/>
    <w:rsid w:val="000E7B6D"/>
    <w:rsid w:val="000F295C"/>
    <w:rsid w:val="001137F9"/>
    <w:rsid w:val="00123D49"/>
    <w:rsid w:val="00124F7B"/>
    <w:rsid w:val="0014209E"/>
    <w:rsid w:val="0016529A"/>
    <w:rsid w:val="00165CA3"/>
    <w:rsid w:val="001770D4"/>
    <w:rsid w:val="001967E3"/>
    <w:rsid w:val="001A7E56"/>
    <w:rsid w:val="001B7284"/>
    <w:rsid w:val="001E6C14"/>
    <w:rsid w:val="001F3B18"/>
    <w:rsid w:val="001F7C08"/>
    <w:rsid w:val="00204F46"/>
    <w:rsid w:val="00222F37"/>
    <w:rsid w:val="00246814"/>
    <w:rsid w:val="0029154C"/>
    <w:rsid w:val="002B46A4"/>
    <w:rsid w:val="002D7F95"/>
    <w:rsid w:val="002F2474"/>
    <w:rsid w:val="003053D0"/>
    <w:rsid w:val="0030577B"/>
    <w:rsid w:val="0032229C"/>
    <w:rsid w:val="00370F61"/>
    <w:rsid w:val="003738E6"/>
    <w:rsid w:val="003A000B"/>
    <w:rsid w:val="003B2FDC"/>
    <w:rsid w:val="003C3A34"/>
    <w:rsid w:val="003C590A"/>
    <w:rsid w:val="003C5DDF"/>
    <w:rsid w:val="003D52DF"/>
    <w:rsid w:val="003D641D"/>
    <w:rsid w:val="003E0C79"/>
    <w:rsid w:val="003E371F"/>
    <w:rsid w:val="003E75F1"/>
    <w:rsid w:val="003F3C92"/>
    <w:rsid w:val="004269FB"/>
    <w:rsid w:val="00440691"/>
    <w:rsid w:val="004414C7"/>
    <w:rsid w:val="00445043"/>
    <w:rsid w:val="00457B41"/>
    <w:rsid w:val="00466490"/>
    <w:rsid w:val="0047405B"/>
    <w:rsid w:val="004758A7"/>
    <w:rsid w:val="00476896"/>
    <w:rsid w:val="00486214"/>
    <w:rsid w:val="00486CC0"/>
    <w:rsid w:val="004955A1"/>
    <w:rsid w:val="004A5CBE"/>
    <w:rsid w:val="004B1AF2"/>
    <w:rsid w:val="004C6CE9"/>
    <w:rsid w:val="00513FB4"/>
    <w:rsid w:val="00514A3A"/>
    <w:rsid w:val="005257A7"/>
    <w:rsid w:val="00525A74"/>
    <w:rsid w:val="00545524"/>
    <w:rsid w:val="00562EEA"/>
    <w:rsid w:val="005724F9"/>
    <w:rsid w:val="0059075C"/>
    <w:rsid w:val="00597E56"/>
    <w:rsid w:val="005B07E5"/>
    <w:rsid w:val="005C20BC"/>
    <w:rsid w:val="005C3C38"/>
    <w:rsid w:val="005C6B0F"/>
    <w:rsid w:val="005D2CA8"/>
    <w:rsid w:val="005D45EB"/>
    <w:rsid w:val="005D511B"/>
    <w:rsid w:val="005D68CA"/>
    <w:rsid w:val="005F2AB3"/>
    <w:rsid w:val="005F72D0"/>
    <w:rsid w:val="00601766"/>
    <w:rsid w:val="00610A0B"/>
    <w:rsid w:val="0061208C"/>
    <w:rsid w:val="0061575E"/>
    <w:rsid w:val="00626D76"/>
    <w:rsid w:val="006279EE"/>
    <w:rsid w:val="00627D31"/>
    <w:rsid w:val="006434A8"/>
    <w:rsid w:val="00643D67"/>
    <w:rsid w:val="00662183"/>
    <w:rsid w:val="006642FC"/>
    <w:rsid w:val="00674E86"/>
    <w:rsid w:val="006805C6"/>
    <w:rsid w:val="00682834"/>
    <w:rsid w:val="006B19CB"/>
    <w:rsid w:val="006D5E3D"/>
    <w:rsid w:val="006E6DC1"/>
    <w:rsid w:val="006E71F9"/>
    <w:rsid w:val="006F448F"/>
    <w:rsid w:val="007121E1"/>
    <w:rsid w:val="00717FAD"/>
    <w:rsid w:val="00734669"/>
    <w:rsid w:val="00736FD7"/>
    <w:rsid w:val="00771775"/>
    <w:rsid w:val="0077445D"/>
    <w:rsid w:val="00794A77"/>
    <w:rsid w:val="007B0AB7"/>
    <w:rsid w:val="007E1400"/>
    <w:rsid w:val="007F04BC"/>
    <w:rsid w:val="007F6265"/>
    <w:rsid w:val="007F6A4D"/>
    <w:rsid w:val="00801496"/>
    <w:rsid w:val="008061E7"/>
    <w:rsid w:val="00852B1E"/>
    <w:rsid w:val="00855DB8"/>
    <w:rsid w:val="00893C18"/>
    <w:rsid w:val="008B17F2"/>
    <w:rsid w:val="008C1EB4"/>
    <w:rsid w:val="00900916"/>
    <w:rsid w:val="009324F0"/>
    <w:rsid w:val="00933B86"/>
    <w:rsid w:val="00960B26"/>
    <w:rsid w:val="00961BE6"/>
    <w:rsid w:val="00971C26"/>
    <w:rsid w:val="00981485"/>
    <w:rsid w:val="00981752"/>
    <w:rsid w:val="0098621C"/>
    <w:rsid w:val="009873E4"/>
    <w:rsid w:val="00990FCC"/>
    <w:rsid w:val="00994903"/>
    <w:rsid w:val="009A2878"/>
    <w:rsid w:val="009A7D18"/>
    <w:rsid w:val="009B6FF6"/>
    <w:rsid w:val="009E0E53"/>
    <w:rsid w:val="009F081A"/>
    <w:rsid w:val="009F56AD"/>
    <w:rsid w:val="00A312CF"/>
    <w:rsid w:val="00A57C64"/>
    <w:rsid w:val="00A63718"/>
    <w:rsid w:val="00A77C33"/>
    <w:rsid w:val="00A82CE3"/>
    <w:rsid w:val="00A83488"/>
    <w:rsid w:val="00A91382"/>
    <w:rsid w:val="00A9758E"/>
    <w:rsid w:val="00AA1ADD"/>
    <w:rsid w:val="00AC2C63"/>
    <w:rsid w:val="00AD1A7D"/>
    <w:rsid w:val="00AE1A86"/>
    <w:rsid w:val="00AF6641"/>
    <w:rsid w:val="00B006BF"/>
    <w:rsid w:val="00B1502E"/>
    <w:rsid w:val="00B26DA5"/>
    <w:rsid w:val="00B278B9"/>
    <w:rsid w:val="00B27909"/>
    <w:rsid w:val="00B30F87"/>
    <w:rsid w:val="00B45CB1"/>
    <w:rsid w:val="00B61993"/>
    <w:rsid w:val="00B67B47"/>
    <w:rsid w:val="00B70D99"/>
    <w:rsid w:val="00BA046F"/>
    <w:rsid w:val="00BC3C34"/>
    <w:rsid w:val="00BC6F95"/>
    <w:rsid w:val="00BF4772"/>
    <w:rsid w:val="00C05EE4"/>
    <w:rsid w:val="00C074CD"/>
    <w:rsid w:val="00C21051"/>
    <w:rsid w:val="00C30AFD"/>
    <w:rsid w:val="00C33766"/>
    <w:rsid w:val="00C33C69"/>
    <w:rsid w:val="00C34D3B"/>
    <w:rsid w:val="00C5644B"/>
    <w:rsid w:val="00C717BD"/>
    <w:rsid w:val="00C73AD6"/>
    <w:rsid w:val="00CD0D4F"/>
    <w:rsid w:val="00CD51D8"/>
    <w:rsid w:val="00CE5BEC"/>
    <w:rsid w:val="00CE6317"/>
    <w:rsid w:val="00CE631A"/>
    <w:rsid w:val="00CF407E"/>
    <w:rsid w:val="00D03D42"/>
    <w:rsid w:val="00D10839"/>
    <w:rsid w:val="00D10F01"/>
    <w:rsid w:val="00D126AA"/>
    <w:rsid w:val="00D218A2"/>
    <w:rsid w:val="00D2414D"/>
    <w:rsid w:val="00D5041C"/>
    <w:rsid w:val="00D5518E"/>
    <w:rsid w:val="00D748FC"/>
    <w:rsid w:val="00D76EC4"/>
    <w:rsid w:val="00D85AC5"/>
    <w:rsid w:val="00DA2AAB"/>
    <w:rsid w:val="00DA2C99"/>
    <w:rsid w:val="00DA567E"/>
    <w:rsid w:val="00DB6746"/>
    <w:rsid w:val="00DC208F"/>
    <w:rsid w:val="00DC799A"/>
    <w:rsid w:val="00DE3425"/>
    <w:rsid w:val="00E23D74"/>
    <w:rsid w:val="00E25994"/>
    <w:rsid w:val="00E30D7A"/>
    <w:rsid w:val="00E35116"/>
    <w:rsid w:val="00E47AA9"/>
    <w:rsid w:val="00E703D8"/>
    <w:rsid w:val="00E84E93"/>
    <w:rsid w:val="00E86A0E"/>
    <w:rsid w:val="00E9438B"/>
    <w:rsid w:val="00E95283"/>
    <w:rsid w:val="00EB5F37"/>
    <w:rsid w:val="00EF6C1D"/>
    <w:rsid w:val="00F00DF2"/>
    <w:rsid w:val="00F303F1"/>
    <w:rsid w:val="00F335DF"/>
    <w:rsid w:val="00F401AD"/>
    <w:rsid w:val="00F57607"/>
    <w:rsid w:val="00F866EE"/>
    <w:rsid w:val="00F930B6"/>
    <w:rsid w:val="00F93EC8"/>
    <w:rsid w:val="00FB6ABF"/>
    <w:rsid w:val="00FC1E43"/>
    <w:rsid w:val="00FC4428"/>
    <w:rsid w:val="00FF17A2"/>
    <w:rsid w:val="00FF3CB1"/>
    <w:rsid w:val="00FF67D6"/>
    <w:rsid w:val="03791D92"/>
    <w:rsid w:val="07117EA5"/>
    <w:rsid w:val="0C1C23BA"/>
    <w:rsid w:val="0DA47194"/>
    <w:rsid w:val="124E7ABB"/>
    <w:rsid w:val="1DBD6EE4"/>
    <w:rsid w:val="2F6844AA"/>
    <w:rsid w:val="39A70829"/>
    <w:rsid w:val="3A0259E9"/>
    <w:rsid w:val="4D5C68E2"/>
    <w:rsid w:val="64AC0977"/>
    <w:rsid w:val="6C1B2608"/>
    <w:rsid w:val="6F5A0FDD"/>
    <w:rsid w:val="71860B17"/>
    <w:rsid w:val="7D0B25B3"/>
    <w:rsid w:val="7D9B65ED"/>
    <w:rsid w:val="7F7B0F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unhideWhenUsed="0" w:uiPriority="0"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kern w:val="0"/>
      <w:sz w:val="24"/>
      <w:szCs w:val="24"/>
      <w:lang w:val="en-US" w:eastAsia="en-US"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rPr>
      <w:rFonts w:cs="Times New Roman"/>
    </w:rPr>
  </w:style>
  <w:style w:type="character" w:customStyle="1" w:styleId="9">
    <w:name w:val="Balloon Text Char"/>
    <w:basedOn w:val="7"/>
    <w:link w:val="2"/>
    <w:locked/>
    <w:uiPriority w:val="99"/>
    <w:rPr>
      <w:rFonts w:eastAsia="Times New Roman" w:cs="Times New Roman"/>
      <w:color w:val="000000"/>
      <w:sz w:val="18"/>
      <w:szCs w:val="18"/>
      <w:lang w:eastAsia="en-US"/>
    </w:rPr>
  </w:style>
  <w:style w:type="character" w:customStyle="1" w:styleId="10">
    <w:name w:val="Footer Char"/>
    <w:basedOn w:val="7"/>
    <w:link w:val="3"/>
    <w:qFormat/>
    <w:locked/>
    <w:uiPriority w:val="99"/>
    <w:rPr>
      <w:rFonts w:eastAsia="Times New Roman" w:cs="Times New Roman"/>
      <w:color w:val="000000"/>
      <w:sz w:val="24"/>
      <w:szCs w:val="24"/>
      <w:lang w:eastAsia="en-US"/>
    </w:rPr>
  </w:style>
  <w:style w:type="character" w:customStyle="1" w:styleId="11">
    <w:name w:val="Header Char"/>
    <w:basedOn w:val="7"/>
    <w:link w:val="4"/>
    <w:semiHidden/>
    <w:qFormat/>
    <w:uiPriority w:val="99"/>
    <w:rPr>
      <w:color w:val="000000"/>
      <w:kern w:val="0"/>
      <w:sz w:val="18"/>
      <w:szCs w:val="18"/>
      <w:lang w:eastAsia="en-US"/>
    </w:rPr>
  </w:style>
  <w:style w:type="paragraph" w:customStyle="1" w:styleId="12">
    <w:name w:val="Header or footer|2"/>
    <w:basedOn w:val="1"/>
    <w:link w:val="18"/>
    <w:qFormat/>
    <w:uiPriority w:val="99"/>
    <w:rPr>
      <w:sz w:val="20"/>
      <w:szCs w:val="20"/>
      <w:lang w:val="zh-TW" w:eastAsia="zh-TW"/>
    </w:rPr>
  </w:style>
  <w:style w:type="paragraph" w:customStyle="1" w:styleId="13">
    <w:name w:val="Body text|1"/>
    <w:basedOn w:val="1"/>
    <w:link w:val="19"/>
    <w:uiPriority w:val="99"/>
    <w:pPr>
      <w:spacing w:line="391" w:lineRule="auto"/>
      <w:ind w:firstLine="400"/>
    </w:pPr>
    <w:rPr>
      <w:rFonts w:ascii="宋体" w:hAnsi="宋体" w:cs="宋体"/>
      <w:sz w:val="30"/>
      <w:szCs w:val="30"/>
      <w:lang w:val="zh-TW" w:eastAsia="zh-TW"/>
    </w:rPr>
  </w:style>
  <w:style w:type="paragraph" w:customStyle="1" w:styleId="14">
    <w:name w:val="Heading #1|1"/>
    <w:basedOn w:val="1"/>
    <w:link w:val="20"/>
    <w:uiPriority w:val="99"/>
    <w:pPr>
      <w:spacing w:after="360"/>
      <w:jc w:val="center"/>
      <w:outlineLvl w:val="0"/>
    </w:pPr>
    <w:rPr>
      <w:rFonts w:ascii="宋体" w:hAnsi="宋体" w:cs="宋体"/>
      <w:color w:val="C80A0B"/>
      <w:sz w:val="142"/>
      <w:szCs w:val="142"/>
      <w:lang w:val="zh-TW" w:eastAsia="zh-TW"/>
    </w:rPr>
  </w:style>
  <w:style w:type="paragraph" w:customStyle="1" w:styleId="15">
    <w:name w:val="Heading #2|1"/>
    <w:basedOn w:val="1"/>
    <w:link w:val="21"/>
    <w:uiPriority w:val="99"/>
    <w:pPr>
      <w:spacing w:after="480" w:line="569" w:lineRule="exact"/>
      <w:jc w:val="center"/>
      <w:outlineLvl w:val="1"/>
    </w:pPr>
    <w:rPr>
      <w:rFonts w:ascii="宋体" w:hAnsi="宋体" w:cs="宋体"/>
      <w:sz w:val="42"/>
      <w:szCs w:val="42"/>
      <w:lang w:val="zh-TW" w:eastAsia="zh-TW"/>
    </w:rPr>
  </w:style>
  <w:style w:type="paragraph" w:customStyle="1" w:styleId="16">
    <w:name w:val="Header or footer|1"/>
    <w:basedOn w:val="1"/>
    <w:link w:val="22"/>
    <w:uiPriority w:val="99"/>
    <w:rPr>
      <w:sz w:val="28"/>
      <w:szCs w:val="28"/>
      <w:lang w:val="zh-TW" w:eastAsia="zh-TW"/>
    </w:rPr>
  </w:style>
  <w:style w:type="paragraph" w:customStyle="1" w:styleId="17">
    <w:name w:val="Body text|2"/>
    <w:basedOn w:val="1"/>
    <w:link w:val="23"/>
    <w:uiPriority w:val="99"/>
    <w:pPr>
      <w:spacing w:after="200"/>
      <w:ind w:firstLine="590"/>
    </w:pPr>
    <w:rPr>
      <w:rFonts w:ascii="宋体" w:hAnsi="宋体" w:cs="宋体"/>
      <w:sz w:val="20"/>
      <w:szCs w:val="20"/>
      <w:lang w:val="zh-TW" w:eastAsia="zh-TW"/>
    </w:rPr>
  </w:style>
  <w:style w:type="character" w:customStyle="1" w:styleId="18">
    <w:name w:val="Header or footer|2_"/>
    <w:basedOn w:val="7"/>
    <w:link w:val="12"/>
    <w:locked/>
    <w:uiPriority w:val="99"/>
    <w:rPr>
      <w:rFonts w:cs="Times New Roman"/>
      <w:sz w:val="20"/>
      <w:szCs w:val="20"/>
      <w:u w:val="none"/>
      <w:shd w:val="clear" w:color="auto" w:fill="auto"/>
      <w:lang w:val="zh-TW" w:eastAsia="zh-TW"/>
    </w:rPr>
  </w:style>
  <w:style w:type="character" w:customStyle="1" w:styleId="19">
    <w:name w:val="Body text|1_"/>
    <w:basedOn w:val="7"/>
    <w:link w:val="13"/>
    <w:qFormat/>
    <w:locked/>
    <w:uiPriority w:val="99"/>
    <w:rPr>
      <w:rFonts w:ascii="宋体" w:hAnsi="宋体" w:eastAsia="宋体" w:cs="宋体"/>
      <w:sz w:val="30"/>
      <w:szCs w:val="30"/>
      <w:u w:val="none"/>
      <w:shd w:val="clear" w:color="auto" w:fill="auto"/>
      <w:lang w:val="zh-TW" w:eastAsia="zh-TW"/>
    </w:rPr>
  </w:style>
  <w:style w:type="character" w:customStyle="1" w:styleId="20">
    <w:name w:val="Heading #1|1_"/>
    <w:basedOn w:val="7"/>
    <w:link w:val="14"/>
    <w:locked/>
    <w:uiPriority w:val="99"/>
    <w:rPr>
      <w:rFonts w:ascii="宋体" w:hAnsi="宋体" w:eastAsia="宋体" w:cs="宋体"/>
      <w:color w:val="C80A0B"/>
      <w:sz w:val="142"/>
      <w:szCs w:val="142"/>
      <w:u w:val="none"/>
      <w:shd w:val="clear" w:color="auto" w:fill="auto"/>
      <w:lang w:val="zh-TW" w:eastAsia="zh-TW"/>
    </w:rPr>
  </w:style>
  <w:style w:type="character" w:customStyle="1" w:styleId="21">
    <w:name w:val="Heading #2|1_"/>
    <w:basedOn w:val="7"/>
    <w:link w:val="15"/>
    <w:locked/>
    <w:uiPriority w:val="99"/>
    <w:rPr>
      <w:rFonts w:ascii="宋体" w:hAnsi="宋体" w:eastAsia="宋体" w:cs="宋体"/>
      <w:sz w:val="42"/>
      <w:szCs w:val="42"/>
      <w:u w:val="none"/>
      <w:shd w:val="clear" w:color="auto" w:fill="auto"/>
      <w:lang w:val="zh-TW" w:eastAsia="zh-TW"/>
    </w:rPr>
  </w:style>
  <w:style w:type="character" w:customStyle="1" w:styleId="22">
    <w:name w:val="Header or footer|1_"/>
    <w:basedOn w:val="7"/>
    <w:link w:val="16"/>
    <w:locked/>
    <w:uiPriority w:val="99"/>
    <w:rPr>
      <w:rFonts w:cs="Times New Roman"/>
      <w:sz w:val="28"/>
      <w:szCs w:val="28"/>
      <w:u w:val="none"/>
      <w:shd w:val="clear" w:color="auto" w:fill="auto"/>
      <w:lang w:val="zh-TW" w:eastAsia="zh-TW"/>
    </w:rPr>
  </w:style>
  <w:style w:type="character" w:customStyle="1" w:styleId="23">
    <w:name w:val="Body text|2_"/>
    <w:basedOn w:val="7"/>
    <w:link w:val="17"/>
    <w:qFormat/>
    <w:locked/>
    <w:uiPriority w:val="99"/>
    <w:rPr>
      <w:rFonts w:ascii="宋体" w:hAnsi="宋体" w:eastAsia="宋体" w:cs="宋体"/>
      <w:sz w:val="20"/>
      <w:szCs w:val="20"/>
      <w:u w:val="none"/>
      <w:shd w:val="clear" w:color="auto" w:fill="auto"/>
      <w:lang w:val="zh-TW" w:eastAsia="zh-TW"/>
    </w:rPr>
  </w:style>
  <w:style w:type="character" w:customStyle="1" w:styleId="24">
    <w:name w:val="bjh-p"/>
    <w:basedOn w:val="7"/>
    <w:uiPriority w:val="99"/>
    <w:rPr>
      <w:rFonts w:cs="Times New Roman"/>
    </w:rPr>
  </w:style>
  <w:style w:type="paragraph" w:customStyle="1" w:styleId="25">
    <w:name w:val="发文机关标识"/>
    <w:next w:val="3"/>
    <w:uiPriority w:val="99"/>
    <w:pPr>
      <w:widowControl w:val="0"/>
      <w:jc w:val="center"/>
    </w:pPr>
    <w:rPr>
      <w:rFonts w:ascii="Times New Roman" w:hAnsi="Times New Roman" w:eastAsia="仿宋_GB2312" w:cs="Times New Roman"/>
      <w:b/>
      <w:color w:val="FF0000"/>
      <w:kern w:val="2"/>
      <w:sz w:val="7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115</Words>
  <Characters>659</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2021-12-16T06:41:00Z</dcterms:created>
  <dc:creator>WPS Office</dc:creator>
  <cp:lastModifiedBy>晴秋</cp:lastModifiedBy>
  <cp:lastPrinted>2021-12-21T03:22:00Z</cp:lastPrinted>
  <dcterms:modified xsi:type="dcterms:W3CDTF">2023-11-14T01:57:28Z</dcterms:modified>
  <dc:title>关于进一步加强卫生健康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185E26D37BEF4F8F845A4236C2EC2CBE</vt:lpwstr>
  </property>
  <property fmtid="{D5CDD505-2E9C-101B-9397-08002B2CF9AE}" pid="3" name="KSOProductBuildVer">
    <vt:lpwstr>2052-12.1.0.15712</vt:lpwstr>
  </property>
</Properties>
</file>