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55" w:tblpY="54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84"/>
        <w:gridCol w:w="1254"/>
        <w:gridCol w:w="778"/>
        <w:gridCol w:w="728"/>
        <w:gridCol w:w="867"/>
        <w:gridCol w:w="900"/>
        <w:gridCol w:w="1418"/>
        <w:gridCol w:w="2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88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2023年度丽水市第二人民医院公开引进博士研究生、硕士研究生、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高级专家计划表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引进岗位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所须专业要求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丽水市第二人民医院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科学研究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基础医学类、生物学类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丽水市第二人民医院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药学、中药学、临床药学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具有卫生正高级专业技术任职资格的，可放宽至本科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2023-11-27T03:18:02Z</dcterms:created>
  <dc:creator>Administrator</dc:creator>
  <cp:lastModifiedBy>出门请左拐</cp:lastModifiedBy>
  <dcterms:modified xsi:type="dcterms:W3CDTF">2023-11-27T03:18:11Z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1BAB8D9122AA42E88F630740D08A6308</vt:lpwstr>
  </property>
</Properties>
</file>